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03D43" w14:textId="00AE7E53" w:rsidR="000C3927" w:rsidRPr="00DB403A" w:rsidRDefault="000C3927" w:rsidP="000C3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DB403A">
        <w:rPr>
          <w:b/>
          <w:noProof/>
          <w:sz w:val="24"/>
        </w:rPr>
        <w:t>3GPP TSG-</w:t>
      </w:r>
      <w:r w:rsidRPr="00DB403A">
        <w:rPr>
          <w:b/>
          <w:noProof/>
          <w:sz w:val="24"/>
          <w:lang w:eastAsia="ja-JP"/>
        </w:rPr>
        <w:t>RAN4 #10</w:t>
      </w:r>
      <w:r w:rsidR="008B724B" w:rsidRPr="00DB403A">
        <w:rPr>
          <w:b/>
          <w:noProof/>
          <w:sz w:val="24"/>
          <w:lang w:eastAsia="ja-JP"/>
        </w:rPr>
        <w:t>4</w:t>
      </w:r>
      <w:r w:rsidRPr="00DB403A">
        <w:rPr>
          <w:b/>
          <w:noProof/>
          <w:sz w:val="24"/>
          <w:lang w:eastAsia="ja-JP"/>
        </w:rPr>
        <w:t>-e</w:t>
      </w:r>
      <w:r w:rsidRPr="00DB403A">
        <w:rPr>
          <w:b/>
          <w:i/>
          <w:noProof/>
          <w:sz w:val="28"/>
        </w:rPr>
        <w:tab/>
        <w:t>R4-22</w:t>
      </w:r>
      <w:r w:rsidR="006936F1">
        <w:rPr>
          <w:b/>
          <w:i/>
          <w:noProof/>
          <w:sz w:val="28"/>
        </w:rPr>
        <w:t>12530</w:t>
      </w:r>
    </w:p>
    <w:p w14:paraId="6A0B2D79" w14:textId="05CDD102" w:rsidR="000C3927" w:rsidRPr="00576C4D" w:rsidRDefault="000C3927" w:rsidP="000C3927">
      <w:pPr>
        <w:spacing w:before="120" w:after="120"/>
        <w:ind w:left="2277" w:hangingChars="945" w:hanging="2277"/>
        <w:rPr>
          <w:rFonts w:ascii="Arial" w:eastAsia="MS Mincho" w:hAnsi="Arial"/>
          <w:b/>
          <w:noProof/>
          <w:sz w:val="24"/>
        </w:rPr>
      </w:pPr>
      <w:r w:rsidRPr="00DB403A">
        <w:rPr>
          <w:rFonts w:ascii="Arial" w:eastAsia="MS Mincho" w:hAnsi="Arial"/>
          <w:b/>
          <w:noProof/>
          <w:sz w:val="24"/>
        </w:rPr>
        <w:t xml:space="preserve">Electronic Meeting, </w:t>
      </w:r>
      <w:r w:rsidR="008B724B" w:rsidRPr="00DB403A">
        <w:rPr>
          <w:rFonts w:ascii="Arial" w:eastAsia="MS Mincho" w:hAnsi="Arial"/>
          <w:b/>
          <w:noProof/>
          <w:sz w:val="24"/>
        </w:rPr>
        <w:t>15</w:t>
      </w:r>
      <w:r w:rsidRPr="00DB403A">
        <w:rPr>
          <w:rFonts w:ascii="Arial" w:eastAsia="MS Mincho" w:hAnsi="Arial"/>
          <w:b/>
          <w:noProof/>
          <w:sz w:val="24"/>
        </w:rPr>
        <w:t xml:space="preserve">th </w:t>
      </w:r>
      <w:r w:rsidR="008B724B" w:rsidRPr="00DB403A">
        <w:rPr>
          <w:rFonts w:ascii="Arial" w:eastAsia="MS Mincho" w:hAnsi="Arial"/>
          <w:b/>
          <w:noProof/>
          <w:sz w:val="24"/>
        </w:rPr>
        <w:t>August</w:t>
      </w:r>
      <w:r w:rsidR="00682E2F">
        <w:rPr>
          <w:rFonts w:ascii="Arial" w:eastAsia="MS Mincho" w:hAnsi="Arial"/>
          <w:b/>
          <w:noProof/>
          <w:sz w:val="24"/>
        </w:rPr>
        <w:t xml:space="preserve"> 2022</w:t>
      </w:r>
      <w:bookmarkStart w:id="0" w:name="_GoBack"/>
      <w:bookmarkEnd w:id="0"/>
      <w:r w:rsidRPr="00DB403A">
        <w:rPr>
          <w:rFonts w:ascii="Arial" w:eastAsia="MS Mincho" w:hAnsi="Arial"/>
          <w:b/>
          <w:noProof/>
          <w:sz w:val="24"/>
        </w:rPr>
        <w:t xml:space="preserve"> – 2</w:t>
      </w:r>
      <w:r w:rsidR="008B724B" w:rsidRPr="00DB403A">
        <w:rPr>
          <w:rFonts w:ascii="Arial" w:eastAsia="MS Mincho" w:hAnsi="Arial"/>
          <w:b/>
          <w:noProof/>
          <w:sz w:val="24"/>
        </w:rPr>
        <w:t>6</w:t>
      </w:r>
      <w:r w:rsidRPr="00DB403A">
        <w:rPr>
          <w:rFonts w:ascii="Arial" w:eastAsia="MS Mincho" w:hAnsi="Arial"/>
          <w:b/>
          <w:noProof/>
          <w:sz w:val="24"/>
        </w:rPr>
        <w:t xml:space="preserve">th </w:t>
      </w:r>
      <w:r w:rsidR="008B724B" w:rsidRPr="00DB403A">
        <w:rPr>
          <w:rFonts w:ascii="Arial" w:eastAsia="MS Mincho" w:hAnsi="Arial"/>
          <w:b/>
          <w:noProof/>
          <w:sz w:val="24"/>
        </w:rPr>
        <w:t>August</w:t>
      </w:r>
      <w:r w:rsidRPr="00DB403A">
        <w:rPr>
          <w:rFonts w:ascii="Arial" w:eastAsia="MS Mincho" w:hAnsi="Arial"/>
          <w:b/>
          <w:noProof/>
          <w:sz w:val="24"/>
        </w:rPr>
        <w:t xml:space="preserve"> </w:t>
      </w:r>
      <w:r w:rsidRPr="00576C4D">
        <w:rPr>
          <w:rFonts w:ascii="Arial" w:eastAsia="MS Mincho" w:hAnsi="Arial"/>
          <w:b/>
          <w:noProof/>
          <w:sz w:val="24"/>
        </w:rPr>
        <w:t>202</w:t>
      </w:r>
      <w:r w:rsidR="00D43147">
        <w:rPr>
          <w:rFonts w:ascii="Arial" w:eastAsia="MS Mincho" w:hAnsi="Arial"/>
          <w:b/>
          <w:noProof/>
          <w:sz w:val="24"/>
        </w:rPr>
        <w:t>2</w:t>
      </w:r>
    </w:p>
    <w:p w14:paraId="49DC57A5" w14:textId="10AAE3A1" w:rsidR="000C3927" w:rsidRPr="003077D5" w:rsidRDefault="000C3927" w:rsidP="000C3927">
      <w:pPr>
        <w:spacing w:before="120" w:after="120"/>
        <w:ind w:left="2277" w:hangingChars="945" w:hanging="2277"/>
        <w:rPr>
          <w:rFonts w:ascii="Arial" w:eastAsia="MS Mincho" w:hAnsi="Arial"/>
          <w:sz w:val="24"/>
        </w:rPr>
      </w:pPr>
      <w:r w:rsidRPr="003077D5">
        <w:rPr>
          <w:rFonts w:ascii="Arial" w:eastAsia="MS Mincho" w:hAnsi="Arial"/>
          <w:b/>
          <w:sz w:val="24"/>
          <w:lang w:eastAsia="en-US"/>
        </w:rPr>
        <w:t>Title:</w:t>
      </w:r>
      <w:r w:rsidRPr="003077D5">
        <w:rPr>
          <w:rFonts w:ascii="Arial" w:eastAsia="MS Mincho" w:hAnsi="Arial"/>
          <w:sz w:val="24"/>
          <w:lang w:eastAsia="en-US"/>
        </w:rPr>
        <w:tab/>
      </w:r>
      <w:bookmarkStart w:id="1" w:name="_Hlk110494206"/>
      <w:r w:rsidR="008B724B" w:rsidRPr="00DE5209">
        <w:rPr>
          <w:rFonts w:ascii="Arial" w:eastAsia="MS Mincho" w:hAnsi="Arial"/>
          <w:sz w:val="24"/>
          <w:lang w:eastAsia="en-US"/>
        </w:rPr>
        <w:t xml:space="preserve">RMC </w:t>
      </w:r>
      <w:r w:rsidR="007F6C1D" w:rsidRPr="00DE5209">
        <w:rPr>
          <w:rFonts w:ascii="Arial" w:eastAsia="MS Mincho" w:hAnsi="Arial"/>
          <w:sz w:val="24"/>
          <w:lang w:eastAsia="en-US"/>
        </w:rPr>
        <w:t xml:space="preserve">related aspects </w:t>
      </w:r>
      <w:r w:rsidR="008B724B" w:rsidRPr="00DE5209">
        <w:rPr>
          <w:rFonts w:ascii="Arial" w:eastAsia="MS Mincho" w:hAnsi="Arial"/>
          <w:sz w:val="24"/>
          <w:lang w:eastAsia="en-US"/>
        </w:rPr>
        <w:t xml:space="preserve">for </w:t>
      </w:r>
      <w:r w:rsidRPr="00DE5209">
        <w:rPr>
          <w:rFonts w:ascii="Arial" w:eastAsia="MS Mincho" w:hAnsi="Arial"/>
          <w:sz w:val="24"/>
          <w:lang w:eastAsia="en-US"/>
        </w:rPr>
        <w:t>FR1 UL coherent MIMO</w:t>
      </w:r>
      <w:bookmarkEnd w:id="1"/>
    </w:p>
    <w:p w14:paraId="251B22DE" w14:textId="77777777" w:rsidR="000C3927" w:rsidRPr="00576C4D" w:rsidRDefault="000C3927" w:rsidP="000C3927">
      <w:pPr>
        <w:spacing w:before="120" w:after="120"/>
        <w:ind w:left="1985" w:hanging="1985"/>
        <w:rPr>
          <w:rFonts w:ascii="Arial" w:eastAsia="MS Mincho" w:hAnsi="Arial"/>
        </w:rPr>
      </w:pPr>
      <w:r w:rsidRPr="00576C4D">
        <w:rPr>
          <w:rFonts w:ascii="Arial" w:eastAsia="MS Mincho" w:hAnsi="Arial"/>
          <w:b/>
          <w:sz w:val="24"/>
          <w:lang w:eastAsia="en-US"/>
        </w:rPr>
        <w:t>Source:</w:t>
      </w:r>
      <w:r w:rsidRPr="00576C4D">
        <w:rPr>
          <w:rFonts w:ascii="Arial" w:hAnsi="Arial"/>
          <w:b/>
        </w:rPr>
        <w:tab/>
      </w:r>
      <w:r w:rsidRPr="00576C4D">
        <w:rPr>
          <w:rFonts w:ascii="Arial" w:hAnsi="Arial"/>
          <w:b/>
        </w:rPr>
        <w:tab/>
      </w:r>
      <w:r w:rsidRPr="00576C4D">
        <w:rPr>
          <w:rFonts w:ascii="Arial" w:hAnsi="Arial"/>
          <w:b/>
        </w:rPr>
        <w:tab/>
      </w:r>
      <w:r w:rsidRPr="00576C4D">
        <w:rPr>
          <w:rFonts w:ascii="Arial" w:hAnsi="Arial"/>
          <w:sz w:val="24"/>
        </w:rPr>
        <w:t>Anritsu</w:t>
      </w:r>
      <w:r w:rsidRPr="00576C4D">
        <w:rPr>
          <w:rFonts w:ascii="Arial" w:eastAsia="MS Mincho" w:hAnsi="Arial"/>
          <w:sz w:val="24"/>
        </w:rPr>
        <w:t xml:space="preserve"> </w:t>
      </w:r>
      <w:r>
        <w:rPr>
          <w:rFonts w:ascii="Arial" w:eastAsia="MS Mincho" w:hAnsi="Arial"/>
          <w:sz w:val="24"/>
        </w:rPr>
        <w:t>Limited</w:t>
      </w:r>
    </w:p>
    <w:p w14:paraId="1D1574E5" w14:textId="77777777" w:rsidR="000C3927" w:rsidRPr="00576C4D" w:rsidRDefault="000C3927" w:rsidP="000C3927">
      <w:pPr>
        <w:spacing w:before="120" w:after="120"/>
        <w:ind w:left="1985" w:hanging="1985"/>
        <w:rPr>
          <w:rFonts w:ascii="Arial" w:eastAsia="MS Mincho" w:hAnsi="Arial"/>
          <w:sz w:val="28"/>
        </w:rPr>
      </w:pPr>
      <w:r w:rsidRPr="00576C4D">
        <w:rPr>
          <w:rFonts w:ascii="Arial" w:eastAsia="MS Mincho" w:hAnsi="Arial"/>
          <w:b/>
          <w:sz w:val="24"/>
          <w:lang w:eastAsia="en-US"/>
        </w:rPr>
        <w:t xml:space="preserve">Agenda </w:t>
      </w:r>
      <w:r w:rsidRPr="00A20899">
        <w:rPr>
          <w:rFonts w:ascii="Arial" w:eastAsia="MS Mincho" w:hAnsi="Arial"/>
          <w:b/>
          <w:sz w:val="24"/>
          <w:lang w:eastAsia="en-US"/>
        </w:rPr>
        <w:t>Item:</w:t>
      </w:r>
      <w:r w:rsidRPr="00A20899">
        <w:rPr>
          <w:rFonts w:ascii="Arial" w:hAnsi="Arial"/>
        </w:rPr>
        <w:tab/>
      </w:r>
      <w:r w:rsidRPr="00A20899">
        <w:rPr>
          <w:rFonts w:ascii="Arial" w:hAnsi="Arial"/>
        </w:rPr>
        <w:tab/>
      </w:r>
      <w:r w:rsidRPr="00A20899">
        <w:rPr>
          <w:rFonts w:ascii="Arial" w:hAnsi="Arial"/>
        </w:rPr>
        <w:tab/>
      </w:r>
      <w:r w:rsidR="00A20899" w:rsidRPr="00753614">
        <w:rPr>
          <w:rFonts w:ascii="Arial" w:eastAsiaTheme="minorEastAsia" w:hAnsi="Arial"/>
          <w:sz w:val="24"/>
        </w:rPr>
        <w:t>4</w:t>
      </w:r>
      <w:r w:rsidRPr="00753614">
        <w:rPr>
          <w:rFonts w:ascii="Arial" w:eastAsiaTheme="minorEastAsia" w:hAnsi="Arial"/>
          <w:sz w:val="24"/>
        </w:rPr>
        <w:t>.</w:t>
      </w:r>
      <w:r w:rsidR="00A20899" w:rsidRPr="00753614">
        <w:rPr>
          <w:rFonts w:ascii="Arial" w:eastAsiaTheme="minorEastAsia" w:hAnsi="Arial"/>
          <w:sz w:val="24"/>
        </w:rPr>
        <w:t>1</w:t>
      </w:r>
      <w:r w:rsidRPr="00753614">
        <w:rPr>
          <w:rFonts w:ascii="Arial" w:eastAsiaTheme="minorEastAsia" w:hAnsi="Arial"/>
          <w:sz w:val="24"/>
        </w:rPr>
        <w:t>.</w:t>
      </w:r>
      <w:r w:rsidR="00A20899" w:rsidRPr="00753614">
        <w:rPr>
          <w:rFonts w:ascii="Arial" w:eastAsiaTheme="minorEastAsia" w:hAnsi="Arial"/>
          <w:sz w:val="24"/>
        </w:rPr>
        <w:t>1</w:t>
      </w:r>
      <w:r w:rsidRPr="00753614">
        <w:rPr>
          <w:rFonts w:ascii="Arial" w:eastAsiaTheme="minorEastAsia" w:hAnsi="Arial"/>
          <w:sz w:val="24"/>
        </w:rPr>
        <w:t>.</w:t>
      </w:r>
      <w:r w:rsidR="00A20899" w:rsidRPr="00753614">
        <w:rPr>
          <w:rFonts w:ascii="Arial" w:eastAsiaTheme="minorEastAsia" w:hAnsi="Arial"/>
          <w:sz w:val="24"/>
        </w:rPr>
        <w:t>1</w:t>
      </w:r>
      <w:r w:rsidRPr="00753614">
        <w:rPr>
          <w:rFonts w:ascii="Arial" w:eastAsiaTheme="minorEastAsia" w:hAnsi="Arial"/>
          <w:sz w:val="24"/>
        </w:rPr>
        <w:t>.</w:t>
      </w:r>
    </w:p>
    <w:p w14:paraId="5B322B4A" w14:textId="77777777" w:rsidR="000C3927" w:rsidRPr="00576C4D" w:rsidRDefault="000C3927" w:rsidP="000C3927">
      <w:pPr>
        <w:spacing w:before="120" w:after="120"/>
        <w:ind w:left="1985" w:hanging="1985"/>
        <w:rPr>
          <w:rFonts w:ascii="Arial" w:eastAsia="MS Mincho" w:hAnsi="Arial"/>
        </w:rPr>
      </w:pPr>
      <w:r w:rsidRPr="00576C4D">
        <w:rPr>
          <w:rFonts w:ascii="Arial" w:eastAsia="MS Mincho" w:hAnsi="Arial"/>
          <w:b/>
          <w:sz w:val="24"/>
          <w:lang w:eastAsia="en-US"/>
        </w:rPr>
        <w:t>Document for:</w:t>
      </w:r>
      <w:r w:rsidRPr="00576C4D">
        <w:rPr>
          <w:rFonts w:ascii="Arial" w:hAnsi="Arial"/>
        </w:rPr>
        <w:tab/>
      </w:r>
      <w:r w:rsidRPr="00576C4D">
        <w:rPr>
          <w:rFonts w:ascii="Arial" w:hAnsi="Arial"/>
        </w:rPr>
        <w:tab/>
      </w:r>
      <w:r w:rsidRPr="00576C4D">
        <w:rPr>
          <w:rFonts w:ascii="Arial" w:hAnsi="Arial"/>
        </w:rPr>
        <w:tab/>
      </w:r>
      <w:r w:rsidRPr="00576C4D">
        <w:rPr>
          <w:rFonts w:ascii="Arial" w:eastAsia="MS Mincho" w:hAnsi="Arial"/>
          <w:sz w:val="24"/>
        </w:rPr>
        <w:t>Approval</w:t>
      </w:r>
    </w:p>
    <w:p w14:paraId="2EB39545" w14:textId="77777777" w:rsidR="000C3927" w:rsidRDefault="000C3927" w:rsidP="000C3927">
      <w:pPr>
        <w:pStyle w:val="Heading1"/>
      </w:pPr>
      <w:r>
        <w:t>1. Introduction</w:t>
      </w:r>
    </w:p>
    <w:p w14:paraId="3A72344F" w14:textId="77777777" w:rsidR="00FD16C4" w:rsidRPr="00593DF6" w:rsidRDefault="00FD16C4" w:rsidP="00FD16C4">
      <w:pPr>
        <w:ind w:firstLine="284"/>
        <w:jc w:val="both"/>
      </w:pPr>
      <w:r w:rsidRPr="00593DF6">
        <w:t xml:space="preserve">At RAN4 #103-e meeting, a significant step </w:t>
      </w:r>
      <w:r w:rsidR="00B44D24" w:rsidRPr="00593DF6">
        <w:t xml:space="preserve">was made </w:t>
      </w:r>
      <w:r w:rsidR="003812E8" w:rsidRPr="00593DF6">
        <w:t>towards</w:t>
      </w:r>
      <w:r w:rsidR="00412AF4" w:rsidRPr="00593DF6">
        <w:t xml:space="preserve"> how</w:t>
      </w:r>
      <w:r w:rsidR="00585769" w:rsidRPr="00593DF6">
        <w:t xml:space="preserve"> </w:t>
      </w:r>
      <w:r w:rsidRPr="00593DF6">
        <w:t xml:space="preserve">the testing of the UL coherent MIMO feature in FR1 </w:t>
      </w:r>
      <w:r w:rsidR="00412AF4" w:rsidRPr="00593DF6">
        <w:t xml:space="preserve">should be performed </w:t>
      </w:r>
      <w:r w:rsidRPr="00593DF6">
        <w:t xml:space="preserve">with the addition of Annex G to the 38.101-1 </w:t>
      </w:r>
      <w:r w:rsidR="00412AF4" w:rsidRPr="00593DF6">
        <w:t>giving information</w:t>
      </w:r>
      <w:r w:rsidRPr="00593DF6">
        <w:t xml:space="preserve"> on how to perform the test</w:t>
      </w:r>
      <w:r w:rsidR="00667A99">
        <w:t xml:space="preserve"> [1][2][3]</w:t>
      </w:r>
      <w:r w:rsidRPr="00593DF6">
        <w:t>.</w:t>
      </w:r>
    </w:p>
    <w:p w14:paraId="4A4D9609" w14:textId="25F34596" w:rsidR="00FD16C4" w:rsidRPr="00593DF6" w:rsidRDefault="00FD16C4" w:rsidP="00FD16C4">
      <w:pPr>
        <w:ind w:firstLine="284"/>
        <w:jc w:val="both"/>
      </w:pPr>
      <w:r w:rsidRPr="00593DF6">
        <w:t xml:space="preserve">However, </w:t>
      </w:r>
      <w:r w:rsidR="00271672" w:rsidRPr="00593DF6">
        <w:t xml:space="preserve">some </w:t>
      </w:r>
      <w:r w:rsidRPr="00593DF6">
        <w:t xml:space="preserve">aspect related to how to ensure that the difference of relative phase and power errors in a given slot based on </w:t>
      </w:r>
      <w:r w:rsidR="00B03550">
        <w:t>DMRS</w:t>
      </w:r>
      <w:r w:rsidRPr="00593DF6">
        <w:t xml:space="preserve"> can be compared properly to those measured at last SRS transmitted was not discussed.</w:t>
      </w:r>
    </w:p>
    <w:p w14:paraId="1D81C138" w14:textId="12B30996" w:rsidR="00FD16C4" w:rsidRPr="0089707B" w:rsidRDefault="00FD16C4" w:rsidP="00FD16C4">
      <w:pPr>
        <w:ind w:firstLine="284"/>
        <w:jc w:val="both"/>
      </w:pPr>
      <w:r w:rsidRPr="0089707B">
        <w:t>The aim of this contribution is to d</w:t>
      </w:r>
      <w:r w:rsidR="00593DF6" w:rsidRPr="0089707B">
        <w:t>iscuss some aspects</w:t>
      </w:r>
      <w:r w:rsidR="0089707B" w:rsidRPr="0089707B">
        <w:t xml:space="preserve"> that could lead to the definition of</w:t>
      </w:r>
      <w:r w:rsidRPr="0089707B">
        <w:t xml:space="preserve"> the RMC used during the test in such a way that proper comparison can be made between relative {phase, power} errors made on </w:t>
      </w:r>
      <w:r w:rsidR="00B03550">
        <w:t>DMRS</w:t>
      </w:r>
      <w:r w:rsidRPr="0089707B">
        <w:t xml:space="preserve"> and relative {phase, power} errors made on SRS. The 6.4D.4 requirement stating a "Maximum allowable difference of relative phase and power errors in a given slot compared [within a 20ms time window] to those measured at last SRS transmitted [prior to that 20ms time window]".</w:t>
      </w:r>
    </w:p>
    <w:p w14:paraId="15DE550B" w14:textId="77777777" w:rsidR="000C3927" w:rsidRDefault="000C3927" w:rsidP="000C3927">
      <w:pPr>
        <w:pStyle w:val="Heading1"/>
      </w:pPr>
      <w:r>
        <w:t>2. Discussion</w:t>
      </w:r>
    </w:p>
    <w:p w14:paraId="0D71365B" w14:textId="77777777" w:rsidR="00F77D32" w:rsidRDefault="00F77D32" w:rsidP="00F77D32">
      <w:pPr>
        <w:pStyle w:val="Heading2"/>
      </w:pPr>
      <w:r>
        <w:t xml:space="preserve">2.1. </w:t>
      </w:r>
      <w:r w:rsidRPr="002557BA">
        <w:t>SRS-</w:t>
      </w:r>
      <w:proofErr w:type="spellStart"/>
      <w:r w:rsidRPr="002557BA">
        <w:t>ResourceSet</w:t>
      </w:r>
      <w:proofErr w:type="spellEnd"/>
      <w:r w:rsidRPr="002557BA">
        <w:t>, “usage”</w:t>
      </w:r>
    </w:p>
    <w:p w14:paraId="0F734CF1" w14:textId="19D449A8" w:rsidR="00354C7C" w:rsidRPr="00F0297F" w:rsidRDefault="00354C7C" w:rsidP="00F77D32">
      <w:pPr>
        <w:overflowPunct/>
        <w:autoSpaceDE/>
        <w:autoSpaceDN/>
        <w:adjustRightInd/>
        <w:spacing w:after="0"/>
        <w:ind w:firstLine="284"/>
        <w:jc w:val="both"/>
        <w:textAlignment w:val="auto"/>
      </w:pPr>
      <w:r w:rsidRPr="00F0297F">
        <w:t>The requirements for UL coherent MIMO in section 6.4D.4 of the 38.101-1 [1] mention the “</w:t>
      </w:r>
      <w:r w:rsidRPr="00F0297F">
        <w:rPr>
          <w:i/>
        </w:rPr>
        <w:t>codebook</w:t>
      </w:r>
      <w:r w:rsidRPr="00F0297F">
        <w:t>” usage and “</w:t>
      </w:r>
      <w:r w:rsidRPr="00F0297F">
        <w:rPr>
          <w:i/>
        </w:rPr>
        <w:t>non-codebook</w:t>
      </w:r>
      <w:r w:rsidRPr="00F0297F">
        <w:t xml:space="preserve">” usage as the two possible use cases </w:t>
      </w:r>
      <w:r w:rsidR="00CF6833" w:rsidRPr="00F0297F">
        <w:t>for</w:t>
      </w:r>
      <w:r w:rsidRPr="00F0297F">
        <w:t xml:space="preserve"> UL coherent MIMO</w:t>
      </w:r>
      <w:r w:rsidR="00CF6833" w:rsidRPr="00F0297F">
        <w:t>. The term “usage” refers to the parameter called “usage” contained in the RRC configuration of an SRS resource set. The valid values of this parameter are “</w:t>
      </w:r>
      <w:r w:rsidR="00CF6833" w:rsidRPr="00F0297F">
        <w:rPr>
          <w:i/>
        </w:rPr>
        <w:t>codebook</w:t>
      </w:r>
      <w:r w:rsidR="00CF6833" w:rsidRPr="00F0297F">
        <w:t>”, “</w:t>
      </w:r>
      <w:proofErr w:type="spellStart"/>
      <w:r w:rsidR="00CF6833" w:rsidRPr="00F0297F">
        <w:rPr>
          <w:i/>
        </w:rPr>
        <w:t>nonCodebook</w:t>
      </w:r>
      <w:proofErr w:type="spellEnd"/>
      <w:r w:rsidR="00CF6833" w:rsidRPr="00F0297F">
        <w:t>”, “</w:t>
      </w:r>
      <w:proofErr w:type="spellStart"/>
      <w:r w:rsidR="00CF6833" w:rsidRPr="00F0297F">
        <w:rPr>
          <w:i/>
        </w:rPr>
        <w:t>beamManagement</w:t>
      </w:r>
      <w:proofErr w:type="spellEnd"/>
      <w:r w:rsidR="00CF6833" w:rsidRPr="00F0297F">
        <w:t>”, and “</w:t>
      </w:r>
      <w:proofErr w:type="spellStart"/>
      <w:r w:rsidR="00CF6833" w:rsidRPr="00F0297F">
        <w:rPr>
          <w:i/>
        </w:rPr>
        <w:t>antennaSwitching</w:t>
      </w:r>
      <w:proofErr w:type="spellEnd"/>
      <w:r w:rsidR="00CF6833" w:rsidRPr="00F0297F">
        <w:t>”.</w:t>
      </w:r>
    </w:p>
    <w:p w14:paraId="5865D0A9" w14:textId="77DC1B13" w:rsidR="00354C7C" w:rsidRDefault="00354C7C" w:rsidP="00CF6833">
      <w:pPr>
        <w:overflowPunct/>
        <w:autoSpaceDE/>
        <w:autoSpaceDN/>
        <w:adjustRightInd/>
        <w:spacing w:after="0"/>
        <w:jc w:val="both"/>
        <w:textAlignment w:val="auto"/>
        <w:rPr>
          <w:highlight w:val="cyan"/>
        </w:rPr>
      </w:pPr>
    </w:p>
    <w:p w14:paraId="5207B18B" w14:textId="4F216CE5" w:rsidR="008C5954" w:rsidRDefault="008C5954" w:rsidP="00CF6833">
      <w:pPr>
        <w:overflowPunct/>
        <w:autoSpaceDE/>
        <w:autoSpaceDN/>
        <w:adjustRightInd/>
        <w:spacing w:after="0"/>
        <w:jc w:val="both"/>
        <w:textAlignment w:val="auto"/>
        <w:rPr>
          <w:highlight w:val="cyan"/>
        </w:rPr>
      </w:pPr>
      <w:r w:rsidRPr="00025B06">
        <w:rPr>
          <w:rFonts w:eastAsia="MS Mincho"/>
          <w:noProof/>
        </w:rPr>
        <mc:AlternateContent>
          <mc:Choice Requires="wps">
            <w:drawing>
              <wp:inline distT="0" distB="0" distL="0" distR="0" wp14:anchorId="0B0D9949" wp14:editId="23BE2BCF">
                <wp:extent cx="6120000" cy="2400300"/>
                <wp:effectExtent l="0" t="0" r="14605" b="19050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F7F91" w14:textId="77777777" w:rsidR="008C5954" w:rsidRPr="00A1115A" w:rsidRDefault="008C5954" w:rsidP="008C5954">
                            <w:pPr>
                              <w:pStyle w:val="Heading3"/>
                            </w:pPr>
                            <w:r w:rsidRPr="00A1115A">
                              <w:t>6.4D.4</w:t>
                            </w:r>
                            <w:r w:rsidRPr="00A1115A">
                              <w:tab/>
                              <w:t>Requirements for coherent UL MIMO</w:t>
                            </w:r>
                          </w:p>
                          <w:p w14:paraId="0C8DBA71" w14:textId="77777777" w:rsidR="008C5954" w:rsidRPr="00A1115A" w:rsidRDefault="008C5954" w:rsidP="008C5954">
                            <w:r w:rsidRPr="00A1115A">
                              <w:t xml:space="preserve">For coherent UL MIMO, Table 6.4D.4-1 lists the maximum allowable difference between the measured relative power and phase errors between different antenna </w:t>
                            </w:r>
                            <w:r>
                              <w:t>connectors</w:t>
                            </w:r>
                            <w:r w:rsidRPr="00A1115A">
                              <w:t xml:space="preserve"> in any slot within the specified time window from the last transmitted SRS on the same antenna </w:t>
                            </w:r>
                            <w:r>
                              <w:t>connectors</w:t>
                            </w:r>
                            <w:r w:rsidRPr="00A1115A">
                              <w:t xml:space="preserve">, </w:t>
                            </w:r>
                            <w:proofErr w:type="gramStart"/>
                            <w:r w:rsidRPr="00A1115A">
                              <w:t>for the purpose of</w:t>
                            </w:r>
                            <w:proofErr w:type="gramEnd"/>
                            <w:r w:rsidRPr="00A1115A">
                              <w:t xml:space="preserve"> uplink transmission (</w:t>
                            </w:r>
                            <w:r w:rsidRPr="00000617">
                              <w:rPr>
                                <w:color w:val="FF0000"/>
                              </w:rPr>
                              <w:t xml:space="preserve">codebook or non-codebook </w:t>
                            </w:r>
                            <w:r w:rsidRPr="00DE3A87">
                              <w:rPr>
                                <w:b/>
                                <w:color w:val="FF0000"/>
                                <w:u w:val="single"/>
                              </w:rPr>
                              <w:t>usage</w:t>
                            </w:r>
                            <w:r w:rsidRPr="00A1115A">
                              <w:t>) and those measured at that last SRS</w:t>
                            </w:r>
                            <w:r w:rsidRPr="00A1115A">
                              <w:rPr>
                                <w:rFonts w:eastAsia="Malgun Gothic"/>
                              </w:rPr>
                              <w:t xml:space="preserve">. </w:t>
                            </w:r>
                            <w:r w:rsidRPr="00A1115A">
                              <w:t xml:space="preserve">The requirements in Table 6.4D.4-1 apply when the UL transmission power at each antenna </w:t>
                            </w:r>
                            <w:r>
                              <w:t>connector</w:t>
                            </w:r>
                            <w:r w:rsidRPr="00A1115A">
                              <w:t xml:space="preserve"> is larger than 0 dBm</w:t>
                            </w:r>
                            <w:r w:rsidRPr="00A1115A">
                              <w:rPr>
                                <w:rFonts w:eastAsia="Malgun Gothic"/>
                              </w:rPr>
                              <w:t xml:space="preserve"> </w:t>
                            </w:r>
                            <w:r w:rsidRPr="00A1115A">
                              <w:t>for SRS transmission and for the duration of time window.</w:t>
                            </w:r>
                          </w:p>
                          <w:p w14:paraId="34362F95" w14:textId="77777777" w:rsidR="008C5954" w:rsidRPr="00A1115A" w:rsidRDefault="008C5954" w:rsidP="008C5954">
                            <w:pPr>
                              <w:pStyle w:val="TH"/>
                            </w:pPr>
                            <w:r w:rsidRPr="00A1115A">
                              <w:t>Table 6.4D.4-1: Maximum allowable difference of relative phase and power errors in a given slot compared to those measured at last SRS transmitted</w:t>
                            </w:r>
                          </w:p>
                          <w:tbl>
                            <w:tblPr>
                              <w:tblW w:w="9002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3260"/>
                              <w:gridCol w:w="3048"/>
                              <w:gridCol w:w="2694"/>
                            </w:tblGrid>
                            <w:tr w:rsidR="008C5954" w:rsidRPr="00A1115A" w14:paraId="569FFB8F" w14:textId="77777777" w:rsidTr="00A64DAA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3260" w:type="dxa"/>
                                </w:tcPr>
                                <w:p w14:paraId="1DCC3941" w14:textId="77777777" w:rsidR="008C5954" w:rsidRPr="00A1115A" w:rsidRDefault="008C5954" w:rsidP="008C11E5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t>Difference of relative phase error</w:t>
                                  </w:r>
                                </w:p>
                              </w:tc>
                              <w:tc>
                                <w:tcPr>
                                  <w:tcW w:w="3048" w:type="dxa"/>
                                </w:tcPr>
                                <w:p w14:paraId="3EBD2916" w14:textId="77777777" w:rsidR="008C5954" w:rsidRPr="00A1115A" w:rsidRDefault="008C5954" w:rsidP="008C11E5">
                                  <w:pPr>
                                    <w:pStyle w:val="TAH"/>
                                  </w:pPr>
                                  <w:r w:rsidRPr="00A1115A">
                                    <w:t>Difference of relative power error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</w:tcPr>
                                <w:p w14:paraId="79DE0CDA" w14:textId="77777777" w:rsidR="008C5954" w:rsidRPr="00A1115A" w:rsidRDefault="008C5954" w:rsidP="008C11E5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t>Time window</w:t>
                                  </w:r>
                                </w:p>
                              </w:tc>
                            </w:tr>
                            <w:tr w:rsidR="008C5954" w:rsidRPr="00A1115A" w14:paraId="57BBC6F2" w14:textId="77777777" w:rsidTr="00A64DAA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52827A3C" w14:textId="77777777" w:rsidR="008C5954" w:rsidRPr="00A1115A" w:rsidRDefault="008C5954" w:rsidP="008C11E5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t>40 degrees</w:t>
                                  </w:r>
                                </w:p>
                              </w:tc>
                              <w:tc>
                                <w:tcPr>
                                  <w:tcW w:w="3048" w:type="dxa"/>
                                  <w:vAlign w:val="center"/>
                                </w:tcPr>
                                <w:p w14:paraId="72982F1A" w14:textId="77777777" w:rsidR="008C5954" w:rsidRPr="00A1115A" w:rsidRDefault="008C5954" w:rsidP="008C11E5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t>4 dB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vAlign w:val="center"/>
                                </w:tcPr>
                                <w:p w14:paraId="5353FA72" w14:textId="77777777" w:rsidR="008C5954" w:rsidRPr="00A1115A" w:rsidRDefault="008C5954" w:rsidP="008C11E5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t xml:space="preserve">20 </w:t>
                                  </w:r>
                                  <w:proofErr w:type="spellStart"/>
                                  <w:r w:rsidRPr="00A1115A">
                                    <w:t>msec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59CC2275" w14:textId="77777777" w:rsidR="008C5954" w:rsidRDefault="008C5954" w:rsidP="008C5954">
                            <w:pPr>
                              <w:pStyle w:val="B1"/>
                            </w:pPr>
                            <w:r>
                              <w:t>[…]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B0D99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pt;height:18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8eeJQIAAEgEAAAOAAAAZHJzL2Uyb0RvYy54bWysVNtu2zAMfR+wfxD0vviypGuNOEWXLsOA&#10;7gK0+wBZlmNhkqhJSuzs60vJaZpu2MswPwiiSB0dHpJeXo9akb1wXoKpaTHLKRGGQyvNtqbfHzZv&#10;LinxgZmWKTCipgfh6fXq9avlYCtRQg+qFY4giPHVYGvah2CrLPO8F5r5GVhh0NmB0yyg6bZZ69iA&#10;6FplZZ5fZAO41jrgwns8vZ2cdJXwu07w8LXrvAhE1RS5hbS6tDZxzVZLVm0ds73kRxrsH1hoJg0+&#10;eoK6ZYGRnZN/QGnJHXjowoyDzqDrJBcpB8ymyH/L5r5nVqRcUBxvTzL5/wfLv+y/OSLbmpYFJYZp&#10;rNGDGAN5DyMpozyD9RVG3VuMCyMeY5lTqt7eAf/hiYF1z8xW3DgHQy9Yi/SKeDM7uzrh+AjSDJ+h&#10;xWfYLkACGjuno3aoBkF0LNPhVJpIhePhRYHVztHF0VfO8/wtGvENVj1dt86HjwI0iZuaOqx9gmf7&#10;Ox+m0KeQ+JoHJduNVCoZbtuslSN7hn2ySd8R/UWYMmSo6dWiXEwK/BUicj0RfAGhZcCGV1LX9PIU&#10;xKqo2wfTIk1WBSbVtMfslDkKGbWbVAxjM2JgVLeB9oCSOpgaGwcRNz24X5QM2NQ19T93zAlK1CeD&#10;Zbkq5vM4BcmYL96VaLhzT3PuYYYjVE15cJRMxjqk2YksDdxgATuZpH3mcmSL7ZqKcxytOA/ndop6&#10;/gGsHgEAAP//AwBQSwMEFAAGAAgAAAAhAD0AlGvZAAAABQEAAA8AAABkcnMvZG93bnJldi54bWxM&#10;j81OwzAQhO9IvIO1SNyoDZVKCXGqqIhjkWgRZ9feJmn9J9tNw9uzcIHLSKtZzXxTryZn2YgpD8FL&#10;uJ8JYOh1MIPvJHzsXu+WwHJR3igbPEr4wgyr5vqqVpUJF/+O47Z0jEJ8rpSEvpRYcZ51j07lWYjo&#10;yTuE5FShM3XcJHWhcGf5gxAL7tTgqaFXEdc96tP27CRs2s1avKXRtfHzcLQqav0Ss5S3N1P7DKzg&#10;VP6e4Qef0KEhpn04e5OZlUBDyq+S97SY04y9hPnjUgBvav6fvvkGAAD//wMAUEsBAi0AFAAGAAgA&#10;AAAhALaDOJL+AAAA4QEAABMAAAAAAAAAAAAAAAAAAAAAAFtDb250ZW50X1R5cGVzXS54bWxQSwEC&#10;LQAUAAYACAAAACEAOP0h/9YAAACUAQAACwAAAAAAAAAAAAAAAAAvAQAAX3JlbHMvLnJlbHNQSwEC&#10;LQAUAAYACAAAACEA2UvHniUCAABIBAAADgAAAAAAAAAAAAAAAAAuAgAAZHJzL2Uyb0RvYy54bWxQ&#10;SwECLQAUAAYACAAAACEAPQCUa9kAAAAFAQAADwAAAAAAAAAAAAAAAAB/BAAAZHJzL2Rvd25yZXYu&#10;eG1sUEsFBgAAAAAEAAQA8wAAAIUFAAAAAA==&#10;">
                <v:textbox>
                  <w:txbxContent>
                    <w:p w14:paraId="4BBF7F91" w14:textId="77777777" w:rsidR="008C5954" w:rsidRPr="00A1115A" w:rsidRDefault="008C5954" w:rsidP="008C5954">
                      <w:pPr>
                        <w:pStyle w:val="Heading3"/>
                      </w:pPr>
                      <w:r w:rsidRPr="00A1115A">
                        <w:t>6.4D.4</w:t>
                      </w:r>
                      <w:r w:rsidRPr="00A1115A">
                        <w:tab/>
                        <w:t>Requirements for coherent UL MIMO</w:t>
                      </w:r>
                    </w:p>
                    <w:p w14:paraId="0C8DBA71" w14:textId="77777777" w:rsidR="008C5954" w:rsidRPr="00A1115A" w:rsidRDefault="008C5954" w:rsidP="008C5954">
                      <w:r w:rsidRPr="00A1115A">
                        <w:t xml:space="preserve">For coherent UL MIMO, Table 6.4D.4-1 lists the maximum allowable difference between the measured relative power and phase errors between different antenna </w:t>
                      </w:r>
                      <w:r>
                        <w:t>connectors</w:t>
                      </w:r>
                      <w:r w:rsidRPr="00A1115A">
                        <w:t xml:space="preserve"> in any slot within the specified time window from the last transmitted SRS on the same antenna </w:t>
                      </w:r>
                      <w:r>
                        <w:t>connectors</w:t>
                      </w:r>
                      <w:r w:rsidRPr="00A1115A">
                        <w:t xml:space="preserve">, </w:t>
                      </w:r>
                      <w:proofErr w:type="gramStart"/>
                      <w:r w:rsidRPr="00A1115A">
                        <w:t>for the purpose of</w:t>
                      </w:r>
                      <w:proofErr w:type="gramEnd"/>
                      <w:r w:rsidRPr="00A1115A">
                        <w:t xml:space="preserve"> uplink transmission (</w:t>
                      </w:r>
                      <w:r w:rsidRPr="00000617">
                        <w:rPr>
                          <w:color w:val="FF0000"/>
                        </w:rPr>
                        <w:t xml:space="preserve">codebook or non-codebook </w:t>
                      </w:r>
                      <w:r w:rsidRPr="00DE3A87">
                        <w:rPr>
                          <w:b/>
                          <w:color w:val="FF0000"/>
                          <w:u w:val="single"/>
                        </w:rPr>
                        <w:t>usage</w:t>
                      </w:r>
                      <w:r w:rsidRPr="00A1115A">
                        <w:t>) and those measured at that last SRS</w:t>
                      </w:r>
                      <w:r w:rsidRPr="00A1115A">
                        <w:rPr>
                          <w:rFonts w:eastAsia="Malgun Gothic"/>
                        </w:rPr>
                        <w:t xml:space="preserve">. </w:t>
                      </w:r>
                      <w:r w:rsidRPr="00A1115A">
                        <w:t xml:space="preserve">The requirements in Table 6.4D.4-1 apply when the UL transmission power at each antenna </w:t>
                      </w:r>
                      <w:r>
                        <w:t>connector</w:t>
                      </w:r>
                      <w:r w:rsidRPr="00A1115A">
                        <w:t xml:space="preserve"> is larger than 0 dBm</w:t>
                      </w:r>
                      <w:r w:rsidRPr="00A1115A">
                        <w:rPr>
                          <w:rFonts w:eastAsia="Malgun Gothic"/>
                        </w:rPr>
                        <w:t xml:space="preserve"> </w:t>
                      </w:r>
                      <w:r w:rsidRPr="00A1115A">
                        <w:t>for SRS transmission and for the duration of time window.</w:t>
                      </w:r>
                    </w:p>
                    <w:p w14:paraId="34362F95" w14:textId="77777777" w:rsidR="008C5954" w:rsidRPr="00A1115A" w:rsidRDefault="008C5954" w:rsidP="008C5954">
                      <w:pPr>
                        <w:pStyle w:val="TH"/>
                      </w:pPr>
                      <w:r w:rsidRPr="00A1115A">
                        <w:t>Table 6.4D.4-1: Maximum allowable difference of relative phase and power errors in a given slot compared to those measured at last SRS transmitted</w:t>
                      </w:r>
                    </w:p>
                    <w:tbl>
                      <w:tblPr>
                        <w:tblW w:w="9002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3260"/>
                        <w:gridCol w:w="3048"/>
                        <w:gridCol w:w="2694"/>
                      </w:tblGrid>
                      <w:tr w:rsidR="008C5954" w:rsidRPr="00A1115A" w14:paraId="569FFB8F" w14:textId="77777777" w:rsidTr="00A64DAA">
                        <w:trPr>
                          <w:trHeight w:val="187"/>
                          <w:jc w:val="center"/>
                        </w:trPr>
                        <w:tc>
                          <w:tcPr>
                            <w:tcW w:w="3260" w:type="dxa"/>
                          </w:tcPr>
                          <w:p w14:paraId="1DCC3941" w14:textId="77777777" w:rsidR="008C5954" w:rsidRPr="00A1115A" w:rsidRDefault="008C5954" w:rsidP="008C11E5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t>Difference of relative phase error</w:t>
                            </w:r>
                          </w:p>
                        </w:tc>
                        <w:tc>
                          <w:tcPr>
                            <w:tcW w:w="3048" w:type="dxa"/>
                          </w:tcPr>
                          <w:p w14:paraId="3EBD2916" w14:textId="77777777" w:rsidR="008C5954" w:rsidRPr="00A1115A" w:rsidRDefault="008C5954" w:rsidP="008C11E5">
                            <w:pPr>
                              <w:pStyle w:val="TAH"/>
                            </w:pPr>
                            <w:r w:rsidRPr="00A1115A">
                              <w:t>Difference of relative power error</w:t>
                            </w:r>
                          </w:p>
                        </w:tc>
                        <w:tc>
                          <w:tcPr>
                            <w:tcW w:w="2694" w:type="dxa"/>
                          </w:tcPr>
                          <w:p w14:paraId="79DE0CDA" w14:textId="77777777" w:rsidR="008C5954" w:rsidRPr="00A1115A" w:rsidRDefault="008C5954" w:rsidP="008C11E5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t>Time window</w:t>
                            </w:r>
                          </w:p>
                        </w:tc>
                      </w:tr>
                      <w:tr w:rsidR="008C5954" w:rsidRPr="00A1115A" w14:paraId="57BBC6F2" w14:textId="77777777" w:rsidTr="00A64DAA">
                        <w:trPr>
                          <w:trHeight w:val="187"/>
                          <w:jc w:val="center"/>
                        </w:trPr>
                        <w:tc>
                          <w:tcPr>
                            <w:tcW w:w="3260" w:type="dxa"/>
                            <w:vAlign w:val="center"/>
                          </w:tcPr>
                          <w:p w14:paraId="52827A3C" w14:textId="77777777" w:rsidR="008C5954" w:rsidRPr="00A1115A" w:rsidRDefault="008C5954" w:rsidP="008C11E5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t>40 degrees</w:t>
                            </w:r>
                          </w:p>
                        </w:tc>
                        <w:tc>
                          <w:tcPr>
                            <w:tcW w:w="3048" w:type="dxa"/>
                            <w:vAlign w:val="center"/>
                          </w:tcPr>
                          <w:p w14:paraId="72982F1A" w14:textId="77777777" w:rsidR="008C5954" w:rsidRPr="00A1115A" w:rsidRDefault="008C5954" w:rsidP="008C11E5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t>4 dB</w:t>
                            </w:r>
                          </w:p>
                        </w:tc>
                        <w:tc>
                          <w:tcPr>
                            <w:tcW w:w="2694" w:type="dxa"/>
                            <w:vAlign w:val="center"/>
                          </w:tcPr>
                          <w:p w14:paraId="5353FA72" w14:textId="77777777" w:rsidR="008C5954" w:rsidRPr="00A1115A" w:rsidRDefault="008C5954" w:rsidP="008C11E5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t xml:space="preserve">20 </w:t>
                            </w:r>
                            <w:proofErr w:type="spellStart"/>
                            <w:r w:rsidRPr="00A1115A">
                              <w:t>msec</w:t>
                            </w:r>
                            <w:proofErr w:type="spellEnd"/>
                          </w:p>
                        </w:tc>
                      </w:tr>
                    </w:tbl>
                    <w:p w14:paraId="59CC2275" w14:textId="77777777" w:rsidR="008C5954" w:rsidRDefault="008C5954" w:rsidP="008C5954">
                      <w:pPr>
                        <w:pStyle w:val="B1"/>
                      </w:pPr>
                      <w:r>
                        <w:t>[…]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5B5EF0" w14:textId="77777777" w:rsidR="008C5954" w:rsidRPr="00F0297F" w:rsidRDefault="008C5954">
      <w:pPr>
        <w:overflowPunct/>
        <w:autoSpaceDE/>
        <w:autoSpaceDN/>
        <w:adjustRightInd/>
        <w:spacing w:after="0"/>
        <w:textAlignment w:val="auto"/>
      </w:pPr>
      <w:r w:rsidRPr="00F0297F">
        <w:br w:type="page"/>
      </w:r>
    </w:p>
    <w:p w14:paraId="071BC356" w14:textId="77777777" w:rsidR="008C5954" w:rsidRPr="00F0297F" w:rsidRDefault="008C5954" w:rsidP="00CF6833">
      <w:pPr>
        <w:overflowPunct/>
        <w:autoSpaceDE/>
        <w:autoSpaceDN/>
        <w:adjustRightInd/>
        <w:spacing w:after="0"/>
        <w:jc w:val="both"/>
        <w:textAlignment w:val="auto"/>
      </w:pPr>
    </w:p>
    <w:p w14:paraId="139CB68D" w14:textId="05CB5FF2" w:rsidR="00144E66" w:rsidRPr="00F0297F" w:rsidRDefault="00EE2AD2" w:rsidP="00C25EF9">
      <w:pPr>
        <w:overflowPunct/>
        <w:autoSpaceDE/>
        <w:autoSpaceDN/>
        <w:adjustRightInd/>
        <w:spacing w:after="0"/>
        <w:ind w:firstLine="284"/>
        <w:jc w:val="both"/>
        <w:textAlignment w:val="auto"/>
      </w:pPr>
      <w:r w:rsidRPr="00F0297F">
        <w:t xml:space="preserve">An </w:t>
      </w:r>
      <w:r w:rsidR="00B2516C" w:rsidRPr="00F0297F">
        <w:t>SRS resource set with usage set to “</w:t>
      </w:r>
      <w:proofErr w:type="spellStart"/>
      <w:r w:rsidR="00B2516C" w:rsidRPr="00F0297F">
        <w:rPr>
          <w:i/>
        </w:rPr>
        <w:t>nonCodebook</w:t>
      </w:r>
      <w:proofErr w:type="spellEnd"/>
      <w:r w:rsidR="00B2516C" w:rsidRPr="00F0297F">
        <w:t xml:space="preserve">” can have one, two, or four SRS resources depending on UE capability, but each resource can only have a single SRS port. </w:t>
      </w:r>
      <w:r w:rsidR="00C25EF9" w:rsidRPr="00F0297F">
        <w:t>For UL coherent MIMO with its</w:t>
      </w:r>
      <w:r w:rsidR="00B2516C" w:rsidRPr="00F0297F">
        <w:t xml:space="preserve"> two-layer PUSCH transmission, an SRS resource set with two SRS resources is</w:t>
      </w:r>
      <w:r w:rsidR="00C25EF9" w:rsidRPr="00F0297F">
        <w:t xml:space="preserve"> needed</w:t>
      </w:r>
      <w:r w:rsidR="00B2516C" w:rsidRPr="00F0297F">
        <w:t>.</w:t>
      </w:r>
    </w:p>
    <w:p w14:paraId="1603D705" w14:textId="77777777" w:rsidR="00EE2AD2" w:rsidRPr="00F0297F" w:rsidRDefault="00EE2AD2" w:rsidP="00EE2AD2">
      <w:pPr>
        <w:overflowPunct/>
        <w:autoSpaceDE/>
        <w:autoSpaceDN/>
        <w:adjustRightInd/>
        <w:spacing w:after="0"/>
        <w:jc w:val="both"/>
        <w:textAlignment w:val="auto"/>
      </w:pPr>
    </w:p>
    <w:p w14:paraId="2C5CAAB1" w14:textId="6DADBCDA" w:rsidR="00EE2AD2" w:rsidRPr="00F0297F" w:rsidRDefault="00EE2AD2" w:rsidP="00EE2AD2">
      <w:pPr>
        <w:overflowPunct/>
        <w:autoSpaceDE/>
        <w:autoSpaceDN/>
        <w:adjustRightInd/>
        <w:spacing w:after="0"/>
        <w:ind w:firstLine="284"/>
        <w:jc w:val="both"/>
        <w:textAlignment w:val="auto"/>
      </w:pPr>
      <w:r w:rsidRPr="00F0297F">
        <w:t>An SRS resource set with usage set to “c</w:t>
      </w:r>
      <w:r w:rsidRPr="00F0297F">
        <w:rPr>
          <w:i/>
        </w:rPr>
        <w:t>odebook</w:t>
      </w:r>
      <w:r w:rsidRPr="00F0297F">
        <w:t>” can have one or two SRS resources depending on UE capability, but each resource can have one, two, or four SRS port(s). For UL coherent MIMO with its two-layer PUSCH transmission, an SRS resource set with one SRS resource using two SRS ports is enough.</w:t>
      </w:r>
    </w:p>
    <w:p w14:paraId="25650221" w14:textId="4C6170AB" w:rsidR="00F77D32" w:rsidRPr="00F0297F" w:rsidRDefault="00F77D32" w:rsidP="00F77D32">
      <w:pPr>
        <w:overflowPunct/>
        <w:autoSpaceDE/>
        <w:autoSpaceDN/>
        <w:adjustRightInd/>
        <w:spacing w:after="0"/>
        <w:jc w:val="both"/>
        <w:textAlignment w:val="auto"/>
      </w:pPr>
    </w:p>
    <w:p w14:paraId="512C3366" w14:textId="2775058D" w:rsidR="007A4FFC" w:rsidRDefault="007A4FFC" w:rsidP="007A4FFC">
      <w:pPr>
        <w:overflowPunct/>
        <w:autoSpaceDE/>
        <w:autoSpaceDN/>
        <w:adjustRightInd/>
        <w:spacing w:after="0"/>
        <w:ind w:firstLine="284"/>
        <w:jc w:val="both"/>
        <w:textAlignment w:val="auto"/>
      </w:pPr>
      <w:r w:rsidRPr="00F0297F">
        <w:t xml:space="preserve">However, as SRS resources can be multiplexed on the same comb </w:t>
      </w:r>
      <w:r w:rsidR="00CB0437" w:rsidRPr="00F0297F">
        <w:t xml:space="preserve">(SRS comb spacing can be 2 or 4) using different cyclic shifts of SRS base sequence, </w:t>
      </w:r>
      <w:r w:rsidRPr="00F0297F">
        <w:t xml:space="preserve">it is possible to use the </w:t>
      </w:r>
      <w:r w:rsidR="00CB0437" w:rsidRPr="00F0297F">
        <w:t xml:space="preserve">same </w:t>
      </w:r>
      <w:r w:rsidRPr="00F0297F">
        <w:t>REs for SRS port 1000 and SRS port 1001</w:t>
      </w:r>
      <w:r w:rsidR="00CB0437" w:rsidRPr="00F0297F">
        <w:t xml:space="preserve"> for both codebook-based precoding and non-codebook-based precoding</w:t>
      </w:r>
      <w:r w:rsidRPr="00F0297F">
        <w:t>.</w:t>
      </w:r>
    </w:p>
    <w:p w14:paraId="60DE1B93" w14:textId="5C69F9CA" w:rsidR="00551AC5" w:rsidRDefault="00551AC5" w:rsidP="00F77D32">
      <w:pPr>
        <w:overflowPunct/>
        <w:autoSpaceDE/>
        <w:autoSpaceDN/>
        <w:adjustRightInd/>
        <w:spacing w:after="0"/>
        <w:jc w:val="both"/>
        <w:textAlignment w:val="auto"/>
      </w:pPr>
    </w:p>
    <w:p w14:paraId="13BAB5C6" w14:textId="540E0AB7" w:rsidR="007A4FFC" w:rsidRDefault="007A4FFC" w:rsidP="00CB0437">
      <w:pPr>
        <w:overflowPunct/>
        <w:autoSpaceDE/>
        <w:autoSpaceDN/>
        <w:adjustRightInd/>
        <w:spacing w:after="0"/>
        <w:jc w:val="right"/>
        <w:textAlignment w:val="auto"/>
      </w:pPr>
      <w:r w:rsidRPr="007A4FFC">
        <w:rPr>
          <w:noProof/>
        </w:rPr>
        <w:drawing>
          <wp:inline distT="0" distB="0" distL="0" distR="0" wp14:anchorId="3625D04A" wp14:editId="04B93F12">
            <wp:extent cx="6120765" cy="33807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8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CA77C" w14:textId="3B8B2E27" w:rsidR="00CB0437" w:rsidRDefault="00CB0437" w:rsidP="00CB0437">
      <w:pPr>
        <w:pStyle w:val="TH"/>
        <w:ind w:left="360"/>
      </w:pPr>
      <w:bookmarkStart w:id="2" w:name="_Hlk1105479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15DB">
        <w:rPr>
          <w:noProof/>
        </w:rPr>
        <w:t>1</w:t>
      </w:r>
      <w:r>
        <w:rPr>
          <w:noProof/>
        </w:rPr>
        <w:fldChar w:fldCharType="end"/>
      </w:r>
      <w:r>
        <w:t>- Example of SRS resource mapping for SRS port 1000 and SRS port 1001 using SRS transmission comb-2, valid for codebook-based precoding and non-codebook-based precoding.</w:t>
      </w:r>
    </w:p>
    <w:bookmarkEnd w:id="2"/>
    <w:p w14:paraId="55F7D877" w14:textId="77777777" w:rsidR="00551AC5" w:rsidRPr="00F77D32" w:rsidRDefault="00551AC5" w:rsidP="00F77D32">
      <w:pPr>
        <w:overflowPunct/>
        <w:autoSpaceDE/>
        <w:autoSpaceDN/>
        <w:adjustRightInd/>
        <w:spacing w:after="0"/>
        <w:jc w:val="both"/>
        <w:textAlignment w:val="auto"/>
      </w:pPr>
    </w:p>
    <w:p w14:paraId="2F0F7964" w14:textId="27D7D9C3" w:rsidR="00F77D32" w:rsidRPr="00F77D32" w:rsidRDefault="00F77D32" w:rsidP="00F77D32">
      <w:pPr>
        <w:ind w:firstLine="284"/>
        <w:jc w:val="both"/>
        <w:rPr>
          <w:b/>
          <w:i/>
        </w:rPr>
      </w:pPr>
      <w:r w:rsidRPr="00F77D32">
        <w:rPr>
          <w:b/>
          <w:i/>
        </w:rPr>
        <w:t xml:space="preserve">Observation </w:t>
      </w:r>
      <w:r>
        <w:rPr>
          <w:b/>
          <w:i/>
        </w:rPr>
        <w:t>1</w:t>
      </w:r>
      <w:r w:rsidRPr="00F77D32">
        <w:rPr>
          <w:b/>
          <w:i/>
        </w:rPr>
        <w:t>:</w:t>
      </w:r>
      <w:r w:rsidRPr="00F77D32">
        <w:rPr>
          <w:i/>
        </w:rPr>
        <w:t xml:space="preserve"> </w:t>
      </w:r>
      <w:r w:rsidRPr="00F77D32">
        <w:rPr>
          <w:b/>
          <w:i/>
        </w:rPr>
        <w:t>The UE may use:</w:t>
      </w:r>
    </w:p>
    <w:p w14:paraId="3B1E291E" w14:textId="77777777" w:rsidR="00076969" w:rsidRPr="00076969" w:rsidRDefault="00F77D32" w:rsidP="00F77D32">
      <w:pPr>
        <w:pStyle w:val="ListParagraph"/>
        <w:numPr>
          <w:ilvl w:val="0"/>
          <w:numId w:val="26"/>
        </w:numPr>
        <w:jc w:val="both"/>
        <w:rPr>
          <w:i/>
        </w:rPr>
      </w:pPr>
      <w:r w:rsidRPr="00F77D32">
        <w:rPr>
          <w:b/>
          <w:i/>
        </w:rPr>
        <w:t xml:space="preserve">One SRS resource set with two SRS resources with each having one SRS port </w:t>
      </w:r>
      <w:r w:rsidR="00AE0360">
        <w:rPr>
          <w:b/>
          <w:i/>
        </w:rPr>
        <w:t>for non-codebook</w:t>
      </w:r>
      <w:r w:rsidR="008C5954">
        <w:rPr>
          <w:b/>
          <w:i/>
        </w:rPr>
        <w:t>-</w:t>
      </w:r>
      <w:r w:rsidR="00AE0360">
        <w:rPr>
          <w:b/>
          <w:i/>
        </w:rPr>
        <w:t>based precoding</w:t>
      </w:r>
      <w:r w:rsidR="00076969">
        <w:rPr>
          <w:b/>
          <w:i/>
        </w:rPr>
        <w:t>.</w:t>
      </w:r>
    </w:p>
    <w:p w14:paraId="7FB0BD27" w14:textId="77921AE1" w:rsidR="00F77D32" w:rsidRPr="00F77D32" w:rsidRDefault="00076969" w:rsidP="00076969">
      <w:pPr>
        <w:pStyle w:val="ListParagraph"/>
        <w:numPr>
          <w:ilvl w:val="1"/>
          <w:numId w:val="26"/>
        </w:numPr>
        <w:jc w:val="both"/>
        <w:rPr>
          <w:i/>
        </w:rPr>
      </w:pPr>
      <w:r>
        <w:rPr>
          <w:b/>
          <w:i/>
        </w:rPr>
        <w:t>Example: SRS ports 1000 and 1001 corresponding to two different SRS resources.</w:t>
      </w:r>
    </w:p>
    <w:p w14:paraId="3A557A7A" w14:textId="4842DB4D" w:rsidR="00F77D32" w:rsidRPr="00076969" w:rsidRDefault="00F77D32" w:rsidP="00F77D32">
      <w:pPr>
        <w:pStyle w:val="ListParagraph"/>
        <w:numPr>
          <w:ilvl w:val="0"/>
          <w:numId w:val="26"/>
        </w:numPr>
        <w:jc w:val="both"/>
        <w:rPr>
          <w:i/>
        </w:rPr>
      </w:pPr>
      <w:r w:rsidRPr="00F77D32">
        <w:rPr>
          <w:b/>
          <w:i/>
        </w:rPr>
        <w:t>One SRS resource set with one SRS resource with each having two SRS ports</w:t>
      </w:r>
      <w:r w:rsidR="00AE0360">
        <w:rPr>
          <w:b/>
          <w:i/>
        </w:rPr>
        <w:t xml:space="preserve"> for</w:t>
      </w:r>
      <w:r w:rsidR="008C5954">
        <w:rPr>
          <w:b/>
          <w:i/>
        </w:rPr>
        <w:t xml:space="preserve"> codebook-based precoding</w:t>
      </w:r>
      <w:r w:rsidRPr="00F77D32">
        <w:rPr>
          <w:b/>
          <w:i/>
        </w:rPr>
        <w:t>.</w:t>
      </w:r>
    </w:p>
    <w:p w14:paraId="47E3E314" w14:textId="595C0098" w:rsidR="00076969" w:rsidRPr="00076969" w:rsidRDefault="00076969" w:rsidP="00076969">
      <w:pPr>
        <w:pStyle w:val="ListParagraph"/>
        <w:numPr>
          <w:ilvl w:val="1"/>
          <w:numId w:val="26"/>
        </w:numPr>
        <w:jc w:val="both"/>
        <w:rPr>
          <w:i/>
        </w:rPr>
      </w:pPr>
      <w:r>
        <w:rPr>
          <w:b/>
          <w:i/>
        </w:rPr>
        <w:t>Example: SRS ports 1000 and 1001 corresponding to a common SRS resource.</w:t>
      </w:r>
    </w:p>
    <w:p w14:paraId="7C487727" w14:textId="52003B45" w:rsidR="00F77D32" w:rsidRDefault="00F77D32" w:rsidP="00F77D32">
      <w:pPr>
        <w:ind w:firstLine="284"/>
        <w:jc w:val="both"/>
        <w:rPr>
          <w:b/>
          <w:i/>
        </w:rPr>
      </w:pPr>
      <w:r w:rsidRPr="00F77D32">
        <w:rPr>
          <w:b/>
          <w:i/>
        </w:rPr>
        <w:t xml:space="preserve">Proposal </w:t>
      </w:r>
      <w:r>
        <w:rPr>
          <w:b/>
          <w:i/>
        </w:rPr>
        <w:t>1</w:t>
      </w:r>
      <w:r w:rsidRPr="00F77D32">
        <w:rPr>
          <w:b/>
          <w:i/>
        </w:rPr>
        <w:t xml:space="preserve">: </w:t>
      </w:r>
      <w:r w:rsidR="00CB0437">
        <w:rPr>
          <w:b/>
          <w:i/>
        </w:rPr>
        <w:t xml:space="preserve">The same SRS </w:t>
      </w:r>
      <w:r w:rsidR="00076969">
        <w:rPr>
          <w:b/>
          <w:i/>
        </w:rPr>
        <w:t xml:space="preserve">resource </w:t>
      </w:r>
      <w:r w:rsidR="00CB0437">
        <w:rPr>
          <w:b/>
          <w:i/>
        </w:rPr>
        <w:t xml:space="preserve">mapping should be used for non-codebook-based and codebook-based precoding </w:t>
      </w:r>
      <w:r w:rsidR="00076969">
        <w:rPr>
          <w:b/>
          <w:i/>
        </w:rPr>
        <w:t>when checking compliance to 6.4D.4 requirements.</w:t>
      </w:r>
    </w:p>
    <w:p w14:paraId="6DEE9591" w14:textId="74ECC1CD" w:rsidR="004801F5" w:rsidRDefault="004801F5">
      <w:pPr>
        <w:overflowPunct/>
        <w:autoSpaceDE/>
        <w:autoSpaceDN/>
        <w:adjustRightInd/>
        <w:spacing w:after="0"/>
        <w:textAlignment w:val="auto"/>
        <w:rPr>
          <w:b/>
          <w:i/>
        </w:rPr>
      </w:pPr>
      <w:r>
        <w:rPr>
          <w:b/>
          <w:i/>
        </w:rPr>
        <w:br w:type="page"/>
      </w:r>
    </w:p>
    <w:p w14:paraId="03101566" w14:textId="424BD7DD" w:rsidR="000C3927" w:rsidRDefault="000C3927" w:rsidP="000C3927">
      <w:pPr>
        <w:pStyle w:val="Heading2"/>
      </w:pPr>
      <w:r>
        <w:lastRenderedPageBreak/>
        <w:t>2.</w:t>
      </w:r>
      <w:r w:rsidR="00F77D32">
        <w:t>2</w:t>
      </w:r>
      <w:r>
        <w:t xml:space="preserve">. </w:t>
      </w:r>
      <w:r w:rsidR="00B44D24">
        <w:t xml:space="preserve">“Frequency matching” between SRS </w:t>
      </w:r>
      <w:r w:rsidR="00A471E7">
        <w:t>&amp;</w:t>
      </w:r>
      <w:r w:rsidR="00B44D24">
        <w:t xml:space="preserve"> </w:t>
      </w:r>
      <w:r w:rsidR="00B03550">
        <w:t>DMRS</w:t>
      </w:r>
      <w:r w:rsidR="00A471E7">
        <w:t xml:space="preserve"> and antenna port aspects</w:t>
      </w:r>
      <w:r w:rsidR="00B44D24">
        <w:t xml:space="preserve"> </w:t>
      </w:r>
    </w:p>
    <w:p w14:paraId="1B1191D8" w14:textId="47004671" w:rsidR="00B14906" w:rsidRPr="00247A5F" w:rsidRDefault="00522C2E" w:rsidP="000C3927">
      <w:pPr>
        <w:ind w:firstLine="284"/>
        <w:jc w:val="both"/>
      </w:pPr>
      <w:r>
        <w:t>To</w:t>
      </w:r>
      <w:r w:rsidR="004F7FCF" w:rsidRPr="004F7FCF">
        <w:t xml:space="preserve"> ensure that the difference of relative phase and power errors in a given slot based on DMRS can be compared properly to those measured at last SRS transmitted</w:t>
      </w:r>
      <w:r w:rsidR="005215DB">
        <w:t>, i</w:t>
      </w:r>
      <w:r w:rsidR="00B14906" w:rsidRPr="00247A5F">
        <w:t>t is necessary to have:</w:t>
      </w:r>
    </w:p>
    <w:p w14:paraId="0C14D042" w14:textId="41010E20" w:rsidR="00B14906" w:rsidRPr="00247A5F" w:rsidRDefault="00B14906" w:rsidP="00794123">
      <w:pPr>
        <w:pStyle w:val="ListParagraph"/>
        <w:numPr>
          <w:ilvl w:val="0"/>
          <w:numId w:val="24"/>
        </w:numPr>
        <w:jc w:val="both"/>
      </w:pPr>
      <w:r w:rsidRPr="00247A5F">
        <w:t xml:space="preserve">As many REs with SRS and </w:t>
      </w:r>
      <w:r w:rsidR="00B03550">
        <w:t>DMRS</w:t>
      </w:r>
      <w:r w:rsidR="00CC6DAE">
        <w:t xml:space="preserve"> in </w:t>
      </w:r>
      <w:r w:rsidR="00794123">
        <w:t>frequency,</w:t>
      </w:r>
      <w:r w:rsidRPr="00247A5F">
        <w:t xml:space="preserve"> </w:t>
      </w:r>
      <w:r w:rsidR="00794123">
        <w:t>t</w:t>
      </w:r>
      <w:r w:rsidRPr="00247A5F">
        <w:t>he higher density the better the measurement</w:t>
      </w:r>
      <w:r w:rsidR="00794123">
        <w:t xml:space="preserve"> will be as it allows better averaging</w:t>
      </w:r>
      <w:r w:rsidRPr="00247A5F">
        <w:t>.</w:t>
      </w:r>
    </w:p>
    <w:p w14:paraId="158634B8" w14:textId="53158B8E" w:rsidR="00B14906" w:rsidRPr="00247A5F" w:rsidRDefault="00794123" w:rsidP="00794123">
      <w:pPr>
        <w:pStyle w:val="ListParagraph"/>
        <w:numPr>
          <w:ilvl w:val="0"/>
          <w:numId w:val="24"/>
        </w:numPr>
        <w:jc w:val="both"/>
      </w:pPr>
      <w:r>
        <w:t>T</w:t>
      </w:r>
      <w:r w:rsidR="00B14906" w:rsidRPr="00247A5F">
        <w:t>he REs occup</w:t>
      </w:r>
      <w:r>
        <w:t>ying</w:t>
      </w:r>
      <w:r w:rsidR="00B14906" w:rsidRPr="00247A5F">
        <w:t xml:space="preserve"> the</w:t>
      </w:r>
      <w:r w:rsidR="00247A5F" w:rsidRPr="00247A5F">
        <w:t xml:space="preserve"> same</w:t>
      </w:r>
      <w:r w:rsidR="00B14906" w:rsidRPr="00247A5F">
        <w:t xml:space="preserve"> SCs for SRS and </w:t>
      </w:r>
      <w:r w:rsidR="00B03550">
        <w:t>DMRS</w:t>
      </w:r>
      <w:r w:rsidR="00B14906" w:rsidRPr="00247A5F">
        <w:t xml:space="preserve"> i.e. the</w:t>
      </w:r>
      <w:r>
        <w:t>m being</w:t>
      </w:r>
      <w:r w:rsidR="00B14906" w:rsidRPr="00247A5F">
        <w:t xml:space="preserve"> aligned frequency-wise</w:t>
      </w:r>
      <w:r w:rsidR="00D26409">
        <w:t>, as it is the usage to compare similar frequencies and there may be a slight difference in case of non-alignment</w:t>
      </w:r>
      <w:r w:rsidR="00B14906" w:rsidRPr="00247A5F">
        <w:t>.</w:t>
      </w:r>
    </w:p>
    <w:p w14:paraId="58A127EC" w14:textId="4157347F" w:rsidR="00CF4792" w:rsidRDefault="00B44D24" w:rsidP="000C3927">
      <w:pPr>
        <w:ind w:firstLine="284"/>
        <w:jc w:val="both"/>
      </w:pPr>
      <w:r w:rsidRPr="00247A5F">
        <w:t xml:space="preserve">SRS comb-2 </w:t>
      </w:r>
      <w:r w:rsidR="0030080A" w:rsidRPr="00247A5F">
        <w:t>(</w:t>
      </w:r>
      <w:proofErr w:type="spellStart"/>
      <w:r w:rsidR="0030080A" w:rsidRPr="00247A5F">
        <w:t>transmissionComb</w:t>
      </w:r>
      <w:proofErr w:type="spellEnd"/>
      <w:r w:rsidR="0030080A" w:rsidRPr="00247A5F">
        <w:t xml:space="preserve"> = n2)</w:t>
      </w:r>
      <w:r w:rsidRPr="00247A5F">
        <w:t xml:space="preserve"> is then the most appropriate</w:t>
      </w:r>
      <w:r w:rsidR="00247A5F" w:rsidRPr="00247A5F">
        <w:t xml:space="preserve"> as it offers better density compare to the other possibility i.e. com</w:t>
      </w:r>
      <w:r w:rsidR="008C5954">
        <w:t>b</w:t>
      </w:r>
      <w:r w:rsidR="00247A5F" w:rsidRPr="00247A5F">
        <w:t>-4</w:t>
      </w:r>
      <w:r w:rsidRPr="00247A5F">
        <w:t xml:space="preserve">. </w:t>
      </w:r>
      <w:r w:rsidR="00B03550">
        <w:t>DMRS</w:t>
      </w:r>
      <w:r w:rsidRPr="00247A5F">
        <w:t xml:space="preserve"> configuration type 1 is the equivalent </w:t>
      </w:r>
      <w:r w:rsidR="00B14906" w:rsidRPr="00247A5F">
        <w:t>of SRS</w:t>
      </w:r>
      <w:r w:rsidR="00247A5F" w:rsidRPr="00247A5F">
        <w:t xml:space="preserve"> comb-2 i.e. one </w:t>
      </w:r>
      <w:r w:rsidR="00AA1CA1" w:rsidRPr="00247A5F">
        <w:t xml:space="preserve">RS </w:t>
      </w:r>
      <w:r w:rsidR="00247A5F" w:rsidRPr="00247A5F">
        <w:t>every two</w:t>
      </w:r>
      <w:r w:rsidR="00AA1CA1" w:rsidRPr="00247A5F">
        <w:t xml:space="preserve"> subcarrier</w:t>
      </w:r>
      <w:r w:rsidR="00247A5F" w:rsidRPr="00247A5F">
        <w:t>s</w:t>
      </w:r>
      <w:r w:rsidR="00AA1CA1" w:rsidRPr="00247A5F">
        <w:t>.</w:t>
      </w:r>
      <w:r w:rsidR="00247A5F" w:rsidRPr="00247A5F">
        <w:t xml:space="preserve"> </w:t>
      </w:r>
    </w:p>
    <w:p w14:paraId="4985CA3F" w14:textId="43DCBDBF" w:rsidR="005215DB" w:rsidRDefault="005215DB" w:rsidP="005215DB">
      <w:pPr>
        <w:jc w:val="center"/>
      </w:pPr>
      <w:r w:rsidRPr="005215DB">
        <w:rPr>
          <w:noProof/>
        </w:rPr>
        <w:drawing>
          <wp:inline distT="0" distB="0" distL="0" distR="0" wp14:anchorId="2C79059B" wp14:editId="6DE59B97">
            <wp:extent cx="6120765" cy="28771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6EF0A" w14:textId="1EB0550E" w:rsidR="005215DB" w:rsidRDefault="005215DB" w:rsidP="005215DB">
      <w:pPr>
        <w:pStyle w:val="TH"/>
        <w:ind w:left="36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- SRS comb-2 and comb-4.</w:t>
      </w:r>
    </w:p>
    <w:p w14:paraId="3985619A" w14:textId="56B5DFB0" w:rsidR="00A35589" w:rsidRPr="00247A5F" w:rsidRDefault="00770BF4" w:rsidP="00316CAB">
      <w:pPr>
        <w:ind w:firstLine="284"/>
        <w:jc w:val="both"/>
      </w:pPr>
      <w:r w:rsidRPr="00247A5F">
        <w:t xml:space="preserve">An SRS transmission can occupy up to 272 RBs, </w:t>
      </w:r>
      <w:r w:rsidR="00815C78">
        <w:t xml:space="preserve">it would be possible to use an </w:t>
      </w:r>
      <w:r w:rsidR="00815C78" w:rsidRPr="00815C78">
        <w:t>UL RB allocation</w:t>
      </w:r>
      <w:r w:rsidR="00815C78">
        <w:t xml:space="preserve"> such that it is almost identical for SRS and </w:t>
      </w:r>
      <w:r w:rsidR="00B03550">
        <w:t>DMRS</w:t>
      </w:r>
      <w:r w:rsidR="00815C78">
        <w:t xml:space="preserve"> (Example: </w:t>
      </w:r>
      <w:r w:rsidR="00815C78" w:rsidRPr="00815C78">
        <w:t>c-SRS (SRS bandwidth configuration) = 63 (272 RB for BW 100MHz)</w:t>
      </w:r>
      <w:r w:rsidR="00815C78">
        <w:t xml:space="preserve"> and</w:t>
      </w:r>
      <w:r w:rsidR="00815C78" w:rsidRPr="00815C78">
        <w:t xml:space="preserve"> UL RB allocation = </w:t>
      </w:r>
      <w:proofErr w:type="spellStart"/>
      <w:r w:rsidR="00815C78" w:rsidRPr="00815C78">
        <w:t>Outer_Full</w:t>
      </w:r>
      <w:proofErr w:type="spellEnd"/>
      <w:r w:rsidR="00815C78" w:rsidRPr="00815C78">
        <w:t xml:space="preserve"> = 273RB for BW 100MHz</w:t>
      </w:r>
      <w:r w:rsidR="00815C78">
        <w:t>).</w:t>
      </w:r>
    </w:p>
    <w:p w14:paraId="42112DA6" w14:textId="77777777" w:rsidR="00C2515C" w:rsidRDefault="00C2515C" w:rsidP="00316CAB">
      <w:pPr>
        <w:overflowPunct/>
        <w:autoSpaceDE/>
        <w:autoSpaceDN/>
        <w:adjustRightInd/>
        <w:spacing w:after="0"/>
        <w:ind w:firstLine="284"/>
        <w:jc w:val="both"/>
        <w:textAlignment w:val="auto"/>
      </w:pPr>
      <w:r>
        <w:t>T</w:t>
      </w:r>
      <w:r w:rsidRPr="00C2515C">
        <w:t>he same SC (same CDM group)</w:t>
      </w:r>
      <w:r>
        <w:t xml:space="preserve"> should be used for the pair of DMRS UL antenna ports i.e.</w:t>
      </w:r>
      <w:r w:rsidRPr="00C2515C">
        <w:t xml:space="preserve"> DMRS port 0 and DMRS port 1</w:t>
      </w:r>
      <w:r>
        <w:t>.</w:t>
      </w:r>
    </w:p>
    <w:p w14:paraId="31774B5B" w14:textId="77777777" w:rsidR="00C2515C" w:rsidRDefault="00C2515C" w:rsidP="00316CAB">
      <w:pPr>
        <w:overflowPunct/>
        <w:autoSpaceDE/>
        <w:autoSpaceDN/>
        <w:adjustRightInd/>
        <w:spacing w:after="0"/>
        <w:ind w:firstLine="284"/>
        <w:jc w:val="both"/>
        <w:textAlignment w:val="auto"/>
      </w:pPr>
    </w:p>
    <w:p w14:paraId="26FC2676" w14:textId="3BDBB1C6" w:rsidR="003E771B" w:rsidRDefault="00C2515C" w:rsidP="00316CAB">
      <w:pPr>
        <w:overflowPunct/>
        <w:autoSpaceDE/>
        <w:autoSpaceDN/>
        <w:adjustRightInd/>
        <w:spacing w:after="0"/>
        <w:ind w:firstLine="284"/>
        <w:jc w:val="both"/>
        <w:textAlignment w:val="auto"/>
      </w:pPr>
      <w:r w:rsidRPr="00C2515C">
        <w:t xml:space="preserve">SRS antenna port 1000 should be same as DMRS port 0. </w:t>
      </w:r>
      <w:r w:rsidR="00316CAB" w:rsidRPr="00C2515C">
        <w:t>Also,</w:t>
      </w:r>
      <w:r w:rsidRPr="00C2515C">
        <w:t xml:space="preserve"> SRS antenna port 1001 should be same as DMRS port 1. It is important that the paths between UE Tx and TE Rx are not changed during testing</w:t>
      </w:r>
    </w:p>
    <w:p w14:paraId="7514EB31" w14:textId="77777777" w:rsidR="00C2515C" w:rsidRDefault="00C2515C" w:rsidP="00316CAB">
      <w:pPr>
        <w:overflowPunct/>
        <w:autoSpaceDE/>
        <w:autoSpaceDN/>
        <w:adjustRightInd/>
        <w:spacing w:after="0"/>
        <w:jc w:val="both"/>
        <w:textAlignment w:val="auto"/>
      </w:pPr>
    </w:p>
    <w:p w14:paraId="50F5DEE5" w14:textId="3024DDF5" w:rsidR="005D0257" w:rsidRDefault="005D0257" w:rsidP="00316CAB">
      <w:pPr>
        <w:ind w:firstLine="284"/>
        <w:jc w:val="both"/>
        <w:rPr>
          <w:b/>
          <w:i/>
        </w:rPr>
      </w:pPr>
      <w:bookmarkStart w:id="3" w:name="_Hlk109750972"/>
      <w:r w:rsidRPr="002370F3">
        <w:rPr>
          <w:b/>
          <w:i/>
        </w:rPr>
        <w:t xml:space="preserve">Observation </w:t>
      </w:r>
      <w:r w:rsidR="00F77D32">
        <w:rPr>
          <w:b/>
          <w:i/>
        </w:rPr>
        <w:t>2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>
        <w:rPr>
          <w:b/>
          <w:i/>
        </w:rPr>
        <w:t xml:space="preserve">The higher the frequency density of SRS and </w:t>
      </w:r>
      <w:r w:rsidR="00B03550">
        <w:rPr>
          <w:b/>
          <w:i/>
        </w:rPr>
        <w:t>DMRS</w:t>
      </w:r>
      <w:r>
        <w:rPr>
          <w:b/>
          <w:i/>
        </w:rPr>
        <w:t xml:space="preserve"> the better the measurement</w:t>
      </w:r>
      <w:r w:rsidR="002D5659">
        <w:rPr>
          <w:b/>
          <w:i/>
        </w:rPr>
        <w:t xml:space="preserve"> due to averaging</w:t>
      </w:r>
      <w:r>
        <w:rPr>
          <w:b/>
          <w:i/>
        </w:rPr>
        <w:t>.</w:t>
      </w:r>
    </w:p>
    <w:p w14:paraId="0374CC3D" w14:textId="3C811DF9" w:rsidR="005D0257" w:rsidRDefault="005D0257" w:rsidP="00316CAB">
      <w:pPr>
        <w:ind w:firstLine="284"/>
        <w:jc w:val="both"/>
        <w:rPr>
          <w:b/>
          <w:i/>
        </w:rPr>
      </w:pPr>
      <w:r>
        <w:rPr>
          <w:b/>
          <w:i/>
        </w:rPr>
        <w:t xml:space="preserve">Observation </w:t>
      </w:r>
      <w:r w:rsidR="00F77D32">
        <w:rPr>
          <w:b/>
          <w:i/>
        </w:rPr>
        <w:t>3</w:t>
      </w:r>
      <w:r>
        <w:rPr>
          <w:b/>
          <w:i/>
        </w:rPr>
        <w:t xml:space="preserve">: </w:t>
      </w:r>
      <w:r w:rsidR="00D26409">
        <w:rPr>
          <w:b/>
          <w:i/>
        </w:rPr>
        <w:t>It</w:t>
      </w:r>
      <w:r w:rsidR="00D26409" w:rsidRPr="00D26409">
        <w:rPr>
          <w:b/>
          <w:i/>
        </w:rPr>
        <w:t xml:space="preserve"> is the usage to compare similar frequencies</w:t>
      </w:r>
      <w:r w:rsidR="00D26409">
        <w:rPr>
          <w:b/>
          <w:i/>
        </w:rPr>
        <w:t xml:space="preserve"> for </w:t>
      </w:r>
      <w:r w:rsidR="00F16923">
        <w:rPr>
          <w:b/>
          <w:i/>
        </w:rPr>
        <w:t xml:space="preserve">calculating </w:t>
      </w:r>
      <w:r w:rsidR="00D26409">
        <w:rPr>
          <w:b/>
          <w:i/>
        </w:rPr>
        <w:t xml:space="preserve">amplitude/phase </w:t>
      </w:r>
      <w:r w:rsidR="00F16923">
        <w:rPr>
          <w:b/>
          <w:i/>
        </w:rPr>
        <w:t>difference</w:t>
      </w:r>
      <w:r w:rsidR="00D26409" w:rsidRPr="00D26409">
        <w:rPr>
          <w:b/>
          <w:i/>
        </w:rPr>
        <w:t xml:space="preserve"> and there may be a slight difference in case of non-alignment </w:t>
      </w:r>
      <w:r w:rsidR="00F16923">
        <w:rPr>
          <w:b/>
          <w:i/>
        </w:rPr>
        <w:t xml:space="preserve">(as small as a SC) </w:t>
      </w:r>
      <w:r w:rsidR="00D26409">
        <w:rPr>
          <w:b/>
          <w:i/>
        </w:rPr>
        <w:t>of t</w:t>
      </w:r>
      <w:r>
        <w:rPr>
          <w:b/>
          <w:i/>
        </w:rPr>
        <w:t xml:space="preserve">he SRS </w:t>
      </w:r>
      <w:r w:rsidR="00F16923">
        <w:rPr>
          <w:b/>
          <w:i/>
        </w:rPr>
        <w:t xml:space="preserve">SCs </w:t>
      </w:r>
      <w:r>
        <w:rPr>
          <w:b/>
          <w:i/>
        </w:rPr>
        <w:t xml:space="preserve">and </w:t>
      </w:r>
      <w:r w:rsidR="00B03550">
        <w:rPr>
          <w:b/>
          <w:i/>
        </w:rPr>
        <w:t>DMRS</w:t>
      </w:r>
      <w:r w:rsidR="00F16923">
        <w:rPr>
          <w:b/>
          <w:i/>
        </w:rPr>
        <w:t xml:space="preserve"> SCs used for those calculations</w:t>
      </w:r>
      <w:r>
        <w:rPr>
          <w:b/>
          <w:i/>
        </w:rPr>
        <w:t>.</w:t>
      </w:r>
    </w:p>
    <w:p w14:paraId="563D1B27" w14:textId="1F3D856C" w:rsidR="005D0257" w:rsidRDefault="005D0257" w:rsidP="00316CAB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Proposal </w:t>
      </w:r>
      <w:r w:rsidR="00F77D32">
        <w:rPr>
          <w:b/>
          <w:i/>
        </w:rPr>
        <w:t>2</w:t>
      </w:r>
      <w:r w:rsidRPr="002370F3">
        <w:rPr>
          <w:b/>
          <w:i/>
        </w:rPr>
        <w:t xml:space="preserve">: </w:t>
      </w:r>
      <w:r w:rsidR="00B03550">
        <w:rPr>
          <w:b/>
          <w:i/>
        </w:rPr>
        <w:t>DMRS</w:t>
      </w:r>
      <w:r w:rsidRPr="005D0257">
        <w:rPr>
          <w:b/>
          <w:i/>
        </w:rPr>
        <w:t xml:space="preserve"> configuration type 1 and SRS comb2 configuration</w:t>
      </w:r>
      <w:r>
        <w:rPr>
          <w:b/>
          <w:i/>
        </w:rPr>
        <w:t xml:space="preserve"> should be used for check</w:t>
      </w:r>
      <w:r w:rsidR="00C2515C">
        <w:rPr>
          <w:b/>
          <w:i/>
        </w:rPr>
        <w:t>ing</w:t>
      </w:r>
      <w:r>
        <w:rPr>
          <w:b/>
          <w:i/>
        </w:rPr>
        <w:t xml:space="preserve"> compliance to 6.4D.4 requirements</w:t>
      </w:r>
      <w:r w:rsidRPr="002370F3">
        <w:rPr>
          <w:b/>
          <w:i/>
        </w:rPr>
        <w:t>.</w:t>
      </w:r>
    </w:p>
    <w:p w14:paraId="2F97569D" w14:textId="6BA0F04C" w:rsidR="004801F5" w:rsidRDefault="00D26409" w:rsidP="00316CAB">
      <w:pPr>
        <w:ind w:firstLine="284"/>
        <w:jc w:val="both"/>
      </w:pPr>
      <w:r>
        <w:rPr>
          <w:b/>
          <w:i/>
        </w:rPr>
        <w:t xml:space="preserve">Proposal </w:t>
      </w:r>
      <w:r w:rsidR="00F77D32">
        <w:rPr>
          <w:b/>
          <w:i/>
        </w:rPr>
        <w:t>3</w:t>
      </w:r>
      <w:r>
        <w:rPr>
          <w:b/>
          <w:i/>
        </w:rPr>
        <w:t xml:space="preserve">: The SRS and </w:t>
      </w:r>
      <w:r w:rsidR="00B03550">
        <w:rPr>
          <w:b/>
          <w:i/>
        </w:rPr>
        <w:t>DMRS</w:t>
      </w:r>
      <w:r>
        <w:rPr>
          <w:b/>
          <w:i/>
        </w:rPr>
        <w:t xml:space="preserve"> should occupy identical SCs.</w:t>
      </w:r>
      <w:bookmarkEnd w:id="3"/>
      <w:r w:rsidR="004801F5">
        <w:br w:type="page"/>
      </w:r>
    </w:p>
    <w:p w14:paraId="5BE29F66" w14:textId="27DF00F3" w:rsidR="005D0257" w:rsidRDefault="005D0257" w:rsidP="005D0257">
      <w:pPr>
        <w:pStyle w:val="Heading2"/>
      </w:pPr>
      <w:r>
        <w:lastRenderedPageBreak/>
        <w:t>2.</w:t>
      </w:r>
      <w:r w:rsidR="00F77D32">
        <w:t>3</w:t>
      </w:r>
      <w:r>
        <w:t xml:space="preserve">. </w:t>
      </w:r>
      <w:r w:rsidR="006E44C3">
        <w:t xml:space="preserve">Timing aspects of </w:t>
      </w:r>
      <w:r>
        <w:t xml:space="preserve">SRS and </w:t>
      </w:r>
      <w:r w:rsidR="00B03550">
        <w:t>DMRS</w:t>
      </w:r>
      <w:r>
        <w:t xml:space="preserve"> </w:t>
      </w:r>
    </w:p>
    <w:p w14:paraId="38D4CC2C" w14:textId="684BBFE8" w:rsidR="005D0257" w:rsidRDefault="005D0257" w:rsidP="00AC15F0">
      <w:pPr>
        <w:ind w:firstLine="284"/>
        <w:jc w:val="both"/>
      </w:pPr>
      <w:r w:rsidRPr="00F0297F">
        <w:t>It is necessary to have</w:t>
      </w:r>
      <w:r w:rsidR="001E23F3" w:rsidRPr="00F0297F">
        <w:t xml:space="preserve"> </w:t>
      </w:r>
      <w:r w:rsidR="00B03550" w:rsidRPr="00F0297F">
        <w:t>DMRS</w:t>
      </w:r>
      <w:r w:rsidR="001E23F3" w:rsidRPr="00F0297F">
        <w:t xml:space="preserve"> mapping type A</w:t>
      </w:r>
      <w:r w:rsidR="00C377ED" w:rsidRPr="00F0297F">
        <w:t>, a</w:t>
      </w:r>
      <w:r w:rsidR="001E23F3" w:rsidRPr="00F0297F">
        <w:t xml:space="preserve">s we want to have 3 </w:t>
      </w:r>
      <w:r w:rsidR="00B03550" w:rsidRPr="00F0297F">
        <w:t>DMRS</w:t>
      </w:r>
      <w:r w:rsidR="001E23F3" w:rsidRPr="00F0297F">
        <w:t xml:space="preserve"> </w:t>
      </w:r>
      <w:r w:rsidR="004B7B4D" w:rsidRPr="00F0297F">
        <w:t xml:space="preserve">symbols </w:t>
      </w:r>
      <w:r w:rsidR="001E23F3" w:rsidRPr="00F0297F">
        <w:t xml:space="preserve">per </w:t>
      </w:r>
      <w:r w:rsidR="004B7B4D" w:rsidRPr="00F0297F">
        <w:t>slot</w:t>
      </w:r>
      <w:r w:rsidR="001E23F3" w:rsidRPr="00F0297F">
        <w:t xml:space="preserve"> during each slot of the 20ms time window.</w:t>
      </w:r>
      <w:r w:rsidR="003F5578">
        <w:t xml:space="preserve"> </w:t>
      </w:r>
    </w:p>
    <w:p w14:paraId="6321B0D0" w14:textId="77777777" w:rsidR="00BB35E1" w:rsidRPr="002370F3" w:rsidRDefault="00BB35E1" w:rsidP="00BB35E1">
      <w:pPr>
        <w:ind w:firstLine="284"/>
        <w:jc w:val="both"/>
        <w:rPr>
          <w:i/>
        </w:rPr>
      </w:pPr>
      <w:r w:rsidRPr="002370F3">
        <w:rPr>
          <w:b/>
          <w:i/>
        </w:rPr>
        <w:t xml:space="preserve">Observation </w:t>
      </w:r>
      <w:r>
        <w:rPr>
          <w:b/>
          <w:i/>
        </w:rPr>
        <w:t>4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>
        <w:rPr>
          <w:b/>
          <w:i/>
        </w:rPr>
        <w:t>DMRS</w:t>
      </w:r>
      <w:r w:rsidRPr="0004199F">
        <w:rPr>
          <w:b/>
          <w:i/>
        </w:rPr>
        <w:t xml:space="preserve"> mapping type A</w:t>
      </w:r>
      <w:r>
        <w:rPr>
          <w:b/>
          <w:i/>
        </w:rPr>
        <w:t xml:space="preserve"> with 3 DMRS symbols for each slot during the 20ms time window</w:t>
      </w:r>
      <w:r w:rsidRPr="002370F3">
        <w:rPr>
          <w:b/>
          <w:i/>
        </w:rPr>
        <w:t>.</w:t>
      </w:r>
    </w:p>
    <w:p w14:paraId="1E88FE78" w14:textId="77777777" w:rsidR="00BB35E1" w:rsidRDefault="00BB35E1" w:rsidP="00BB35E1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Proposal </w:t>
      </w:r>
      <w:r>
        <w:rPr>
          <w:b/>
          <w:i/>
        </w:rPr>
        <w:t>4</w:t>
      </w:r>
      <w:r w:rsidRPr="002370F3">
        <w:rPr>
          <w:b/>
          <w:i/>
        </w:rPr>
        <w:t xml:space="preserve">: </w:t>
      </w:r>
      <w:r>
        <w:rPr>
          <w:b/>
          <w:i/>
        </w:rPr>
        <w:t>Use of DMRS mapping type A with 3 DMRS symbols</w:t>
      </w:r>
      <w:r w:rsidRPr="002370F3">
        <w:rPr>
          <w:b/>
          <w:i/>
        </w:rPr>
        <w:t>.</w:t>
      </w:r>
    </w:p>
    <w:p w14:paraId="56A9758C" w14:textId="77777777" w:rsidR="00B44D24" w:rsidRDefault="00B44D24" w:rsidP="00B44D24">
      <w:pPr>
        <w:overflowPunct/>
        <w:autoSpaceDE/>
        <w:autoSpaceDN/>
        <w:adjustRightInd/>
        <w:spacing w:after="0"/>
        <w:ind w:left="360"/>
        <w:jc w:val="center"/>
        <w:textAlignment w:val="auto"/>
      </w:pPr>
    </w:p>
    <w:p w14:paraId="3E0F533A" w14:textId="0DFD0756" w:rsidR="00234CCC" w:rsidRDefault="00F7246B" w:rsidP="00B44D24">
      <w:pPr>
        <w:overflowPunct/>
        <w:autoSpaceDE/>
        <w:autoSpaceDN/>
        <w:adjustRightInd/>
        <w:spacing w:after="0"/>
        <w:ind w:left="360"/>
        <w:jc w:val="center"/>
        <w:textAlignment w:val="auto"/>
      </w:pPr>
      <w:bookmarkStart w:id="4" w:name="_Hlk110545496"/>
      <w:r w:rsidRPr="00F7246B">
        <w:rPr>
          <w:noProof/>
        </w:rPr>
        <w:drawing>
          <wp:inline distT="0" distB="0" distL="0" distR="0" wp14:anchorId="3F0F380C" wp14:editId="3C7A91E1">
            <wp:extent cx="6120765" cy="2873375"/>
            <wp:effectExtent l="0" t="0" r="0" b="31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7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8A9F7" w14:textId="29166C40" w:rsidR="00234CCC" w:rsidRDefault="00234CCC" w:rsidP="00234CCC">
      <w:pPr>
        <w:pStyle w:val="TH"/>
        <w:ind w:left="360"/>
      </w:pPr>
      <w:bookmarkStart w:id="5" w:name="_Ref1105998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E4A2D">
        <w:rPr>
          <w:noProof/>
        </w:rPr>
        <w:t>3</w:t>
      </w:r>
      <w:r>
        <w:rPr>
          <w:noProof/>
        </w:rPr>
        <w:fldChar w:fldCharType="end"/>
      </w:r>
      <w:bookmarkEnd w:id="5"/>
      <w:r>
        <w:t xml:space="preserve">- </w:t>
      </w:r>
      <w:r w:rsidR="00B03550">
        <w:t>DMRS</w:t>
      </w:r>
      <w:r>
        <w:t xml:space="preserve"> mapping type A</w:t>
      </w:r>
      <w:r w:rsidR="00AC15F0">
        <w:t xml:space="preserve"> - </w:t>
      </w:r>
      <w:r w:rsidR="00AC15F0" w:rsidRPr="00AC15F0">
        <w:t>11 PUSCH symbols and 3 DMRS symbol</w:t>
      </w:r>
      <w:r w:rsidR="00AC15F0">
        <w:t>s</w:t>
      </w:r>
      <w:r>
        <w:t>.</w:t>
      </w:r>
    </w:p>
    <w:bookmarkEnd w:id="4"/>
    <w:p w14:paraId="1A9D5707" w14:textId="187A3CA8" w:rsidR="00234CCC" w:rsidRDefault="00234CCC" w:rsidP="00B44D24">
      <w:pPr>
        <w:overflowPunct/>
        <w:autoSpaceDE/>
        <w:autoSpaceDN/>
        <w:adjustRightInd/>
        <w:spacing w:after="0"/>
        <w:ind w:left="360"/>
        <w:jc w:val="center"/>
        <w:textAlignment w:val="auto"/>
      </w:pPr>
    </w:p>
    <w:p w14:paraId="2475BDE4" w14:textId="338DED53" w:rsidR="003B1984" w:rsidRPr="00BB35E1" w:rsidRDefault="00BB35E1" w:rsidP="00BB35E1">
      <w:pPr>
        <w:overflowPunct/>
        <w:autoSpaceDE/>
        <w:autoSpaceDN/>
        <w:adjustRightInd/>
        <w:spacing w:after="0"/>
        <w:ind w:firstLine="284"/>
        <w:jc w:val="both"/>
        <w:textAlignment w:val="auto"/>
      </w:pPr>
      <w:r w:rsidRPr="00BB35E1">
        <w:rPr>
          <w:sz w:val="21"/>
          <w:szCs w:val="21"/>
          <w:lang w:val="en-US"/>
        </w:rPr>
        <w:t>To be in line with the UL RMC as defined in in Annex A.2 of 38.101-1[1] and 38.521-1 [5], i</w:t>
      </w:r>
      <w:r w:rsidR="004814E3" w:rsidRPr="00BB35E1">
        <w:rPr>
          <w:sz w:val="21"/>
          <w:szCs w:val="21"/>
          <w:lang w:val="en-US"/>
        </w:rPr>
        <w:t xml:space="preserve">t can be noted </w:t>
      </w:r>
      <w:r w:rsidRPr="00BB35E1">
        <w:rPr>
          <w:sz w:val="21"/>
          <w:szCs w:val="21"/>
          <w:lang w:val="en-US"/>
        </w:rPr>
        <w:t xml:space="preserve">in </w:t>
      </w:r>
      <w:r w:rsidRPr="00BB35E1">
        <w:rPr>
          <w:sz w:val="21"/>
          <w:szCs w:val="21"/>
          <w:lang w:val="en-US"/>
        </w:rPr>
        <w:fldChar w:fldCharType="begin"/>
      </w:r>
      <w:r w:rsidRPr="00BB35E1">
        <w:rPr>
          <w:sz w:val="21"/>
          <w:szCs w:val="21"/>
          <w:lang w:val="en-US"/>
        </w:rPr>
        <w:instrText xml:space="preserve"> REF _Ref110599807 \h  \* MERGEFORMAT </w:instrText>
      </w:r>
      <w:r w:rsidRPr="00BB35E1">
        <w:rPr>
          <w:sz w:val="21"/>
          <w:szCs w:val="21"/>
          <w:lang w:val="en-US"/>
        </w:rPr>
      </w:r>
      <w:r w:rsidRPr="00BB35E1">
        <w:rPr>
          <w:sz w:val="21"/>
          <w:szCs w:val="21"/>
          <w:lang w:val="en-US"/>
        </w:rPr>
        <w:fldChar w:fldCharType="separate"/>
      </w:r>
      <w:r w:rsidRPr="00BB35E1">
        <w:t xml:space="preserve">Figure </w:t>
      </w:r>
      <w:r w:rsidRPr="00BB35E1">
        <w:rPr>
          <w:noProof/>
        </w:rPr>
        <w:t>3</w:t>
      </w:r>
      <w:r w:rsidRPr="00BB35E1">
        <w:rPr>
          <w:sz w:val="21"/>
          <w:szCs w:val="21"/>
          <w:lang w:val="en-US"/>
        </w:rPr>
        <w:fldChar w:fldCharType="end"/>
      </w:r>
      <w:r w:rsidRPr="00BB35E1">
        <w:rPr>
          <w:sz w:val="21"/>
          <w:szCs w:val="21"/>
          <w:lang w:val="en-US"/>
        </w:rPr>
        <w:t xml:space="preserve"> </w:t>
      </w:r>
      <w:r w:rsidR="004814E3" w:rsidRPr="00BB35E1">
        <w:rPr>
          <w:sz w:val="21"/>
          <w:szCs w:val="21"/>
          <w:lang w:val="en-US"/>
        </w:rPr>
        <w:t xml:space="preserve">that </w:t>
      </w:r>
      <w:bookmarkStart w:id="6" w:name="_Hlk110600082"/>
      <w:r w:rsidR="004814E3" w:rsidRPr="00BB35E1">
        <w:rPr>
          <w:sz w:val="21"/>
          <w:szCs w:val="21"/>
          <w:lang w:val="en-US"/>
        </w:rPr>
        <w:t>the REs corresponding to the odd subcarriers and DMRS symbols are non-allocated for data or DMRS</w:t>
      </w:r>
      <w:bookmarkEnd w:id="6"/>
      <w:r w:rsidRPr="00BB35E1">
        <w:rPr>
          <w:sz w:val="21"/>
          <w:szCs w:val="21"/>
          <w:lang w:val="en-US"/>
        </w:rPr>
        <w:t>. Having those REs empty will very much facilitate the measurements.</w:t>
      </w:r>
    </w:p>
    <w:p w14:paraId="395F05F5" w14:textId="61B6690A" w:rsidR="00AC15F0" w:rsidRPr="00BB35E1" w:rsidRDefault="00AC15F0" w:rsidP="00BB35E1">
      <w:pPr>
        <w:overflowPunct/>
        <w:autoSpaceDE/>
        <w:autoSpaceDN/>
        <w:adjustRightInd/>
        <w:spacing w:after="0"/>
        <w:textAlignment w:val="auto"/>
      </w:pPr>
    </w:p>
    <w:p w14:paraId="3630E002" w14:textId="77777777" w:rsidR="006B6EA8" w:rsidRPr="00BB35E1" w:rsidRDefault="006B6EA8" w:rsidP="006B6EA8">
      <w:pPr>
        <w:ind w:firstLine="284"/>
        <w:jc w:val="both"/>
        <w:rPr>
          <w:i/>
        </w:rPr>
      </w:pPr>
      <w:r w:rsidRPr="00BB35E1">
        <w:rPr>
          <w:b/>
          <w:i/>
        </w:rPr>
        <w:t>Observation 5: Having the REs corresponding to the “DMRS symbols” allocated only to DMRS</w:t>
      </w:r>
      <w:r>
        <w:rPr>
          <w:b/>
          <w:i/>
        </w:rPr>
        <w:t xml:space="preserve"> (even SCs)</w:t>
      </w:r>
      <w:r w:rsidRPr="00BB35E1">
        <w:rPr>
          <w:b/>
          <w:i/>
        </w:rPr>
        <w:t xml:space="preserve"> or non-allocated</w:t>
      </w:r>
      <w:r>
        <w:rPr>
          <w:b/>
          <w:i/>
        </w:rPr>
        <w:t xml:space="preserve"> to neither data or DMRS (odd SCs) </w:t>
      </w:r>
      <w:r w:rsidRPr="00BB35E1">
        <w:rPr>
          <w:b/>
          <w:i/>
        </w:rPr>
        <w:t>will ease greatly the measurements.</w:t>
      </w:r>
    </w:p>
    <w:p w14:paraId="7EF39FBC" w14:textId="4C4D8F94" w:rsidR="00BB35E1" w:rsidRDefault="00BB35E1" w:rsidP="00BB35E1">
      <w:pPr>
        <w:ind w:firstLine="284"/>
        <w:jc w:val="both"/>
        <w:rPr>
          <w:b/>
          <w:i/>
        </w:rPr>
      </w:pPr>
      <w:r w:rsidRPr="00BB35E1">
        <w:rPr>
          <w:b/>
          <w:i/>
        </w:rPr>
        <w:t>Proposal 5: The REs corresponding to the odd subcarriers and DMRS symbols should be non-allocated for data or DMRS.</w:t>
      </w:r>
    </w:p>
    <w:p w14:paraId="21206968" w14:textId="77777777" w:rsidR="00321B4C" w:rsidRDefault="00321B4C" w:rsidP="00B44D24">
      <w:pPr>
        <w:overflowPunct/>
        <w:autoSpaceDE/>
        <w:autoSpaceDN/>
        <w:adjustRightInd/>
        <w:spacing w:after="0"/>
        <w:ind w:left="360"/>
        <w:jc w:val="center"/>
        <w:textAlignment w:val="auto"/>
      </w:pPr>
      <w:r>
        <w:rPr>
          <w:noProof/>
        </w:rPr>
        <w:drawing>
          <wp:inline distT="0" distB="0" distL="0" distR="0" wp14:anchorId="214E4346" wp14:editId="0AFD385F">
            <wp:extent cx="3754800" cy="2026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percent CFO - 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4800" cy="202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887A8" w14:textId="2A63D434" w:rsidR="00B44D24" w:rsidRDefault="00B44D24" w:rsidP="00B44D24">
      <w:pPr>
        <w:pStyle w:val="TH"/>
        <w:ind w:left="36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E4A2D">
        <w:rPr>
          <w:noProof/>
        </w:rPr>
        <w:t>4</w:t>
      </w:r>
      <w:r>
        <w:rPr>
          <w:noProof/>
        </w:rPr>
        <w:fldChar w:fldCharType="end"/>
      </w:r>
      <w:r>
        <w:t xml:space="preserve">- </w:t>
      </w:r>
      <w:r w:rsidR="00B03550">
        <w:t>DMRS</w:t>
      </w:r>
      <w:r w:rsidRPr="00227127">
        <w:t xml:space="preserve"> mapping type A (As we want to have 3 </w:t>
      </w:r>
      <w:r w:rsidR="00B03550">
        <w:t>DMRS</w:t>
      </w:r>
      <w:r w:rsidR="0004199F">
        <w:t xml:space="preserve"> symbols</w:t>
      </w:r>
      <w:r w:rsidRPr="00227127">
        <w:t xml:space="preserve"> per s</w:t>
      </w:r>
      <w:r w:rsidR="0004199F">
        <w:t>lot</w:t>
      </w:r>
      <w:r w:rsidRPr="00227127">
        <w:t xml:space="preserve"> during each slot of the 20ms time window</w:t>
      </w:r>
      <w:r>
        <w:t>.</w:t>
      </w:r>
    </w:p>
    <w:p w14:paraId="71F91FCE" w14:textId="025F6526" w:rsidR="00B44D24" w:rsidRDefault="00AC15F0" w:rsidP="00F655BA">
      <w:pPr>
        <w:ind w:firstLine="284"/>
        <w:jc w:val="both"/>
      </w:pPr>
      <w:r>
        <w:t xml:space="preserve">Regarding SRS, </w:t>
      </w:r>
      <w:r w:rsidRPr="003F5578">
        <w:t xml:space="preserve">SRS Resources </w:t>
      </w:r>
      <w:r>
        <w:t xml:space="preserve">can </w:t>
      </w:r>
      <w:r w:rsidRPr="003F5578">
        <w:t>span over 1,2, or 4 consecutive symbols</w:t>
      </w:r>
      <w:r>
        <w:t xml:space="preserve"> of</w:t>
      </w:r>
      <w:r w:rsidRPr="003F5578">
        <w:t xml:space="preserve"> </w:t>
      </w:r>
      <w:r>
        <w:t>the last six symbols of the slot</w:t>
      </w:r>
      <w:r w:rsidR="00AC013F">
        <w:t xml:space="preserve">. The use of </w:t>
      </w:r>
      <w:r w:rsidR="00F655BA">
        <w:t xml:space="preserve">the maximum </w:t>
      </w:r>
      <w:r w:rsidR="00AC013F">
        <w:t xml:space="preserve">4 consecutive SRS symbols could improve the accuracy of the measurement of the </w:t>
      </w:r>
      <w:r w:rsidR="00AC013F" w:rsidRPr="00AC013F">
        <w:t>difference of relative phase and power</w:t>
      </w:r>
      <w:r w:rsidR="00AC013F">
        <w:t xml:space="preserve"> in the last SRS.</w:t>
      </w:r>
    </w:p>
    <w:p w14:paraId="20B81C6D" w14:textId="00C218E1" w:rsidR="00C776EF" w:rsidRDefault="00EE4A2D" w:rsidP="00F655BA">
      <w:pPr>
        <w:ind w:firstLine="284"/>
        <w:jc w:val="both"/>
      </w:pPr>
      <w:r w:rsidRPr="00EE4A2D">
        <w:rPr>
          <w:noProof/>
        </w:rPr>
        <w:lastRenderedPageBreak/>
        <w:drawing>
          <wp:inline distT="0" distB="0" distL="0" distR="0" wp14:anchorId="66DEEBFA" wp14:editId="5EE1352E">
            <wp:extent cx="6120765" cy="173545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3EB23" w14:textId="2D90E364" w:rsidR="00EE4A2D" w:rsidRDefault="00EE4A2D" w:rsidP="00EE4A2D">
      <w:pPr>
        <w:pStyle w:val="TH"/>
        <w:ind w:left="36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>- SRS resource mapping for SRS port</w:t>
      </w:r>
      <w:r w:rsidR="001850F5">
        <w:t>s</w:t>
      </w:r>
      <w:r>
        <w:t xml:space="preserve"> 1000</w:t>
      </w:r>
      <w:r w:rsidR="001850F5">
        <w:t>/</w:t>
      </w:r>
      <w:r>
        <w:t>1001 using SRS transmission comb-2, valid for codebook-based</w:t>
      </w:r>
      <w:r w:rsidR="001850F5">
        <w:t xml:space="preserve"> &amp; non</w:t>
      </w:r>
      <w:r>
        <w:t>-codebook-based precoding</w:t>
      </w:r>
      <w:r w:rsidR="001850F5">
        <w:t xml:space="preserve">, for </w:t>
      </w:r>
      <w:r w:rsidR="001850F5" w:rsidRPr="001850F5">
        <w:t>1,2, or 4 consecutive symbols</w:t>
      </w:r>
      <w:r>
        <w:t>.</w:t>
      </w:r>
    </w:p>
    <w:p w14:paraId="31412A2F" w14:textId="77777777" w:rsidR="00EE4A2D" w:rsidRDefault="00EE4A2D" w:rsidP="00F655BA">
      <w:pPr>
        <w:ind w:firstLine="284"/>
        <w:jc w:val="both"/>
      </w:pPr>
    </w:p>
    <w:p w14:paraId="5D156594" w14:textId="07A4BDC2" w:rsidR="006D62AB" w:rsidRPr="002370F3" w:rsidRDefault="006D62AB" w:rsidP="006D62AB">
      <w:pPr>
        <w:ind w:firstLine="284"/>
        <w:jc w:val="both"/>
        <w:rPr>
          <w:i/>
        </w:rPr>
      </w:pPr>
      <w:r w:rsidRPr="002370F3">
        <w:rPr>
          <w:b/>
          <w:i/>
        </w:rPr>
        <w:t xml:space="preserve">Observation </w:t>
      </w:r>
      <w:r w:rsidR="00BB35E1">
        <w:rPr>
          <w:b/>
          <w:i/>
        </w:rPr>
        <w:t>6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 w:rsidR="001B6A94" w:rsidRPr="001B6A94">
        <w:rPr>
          <w:b/>
          <w:i/>
        </w:rPr>
        <w:t xml:space="preserve">SRS Resources can span over 1,2, or 4 consecutive </w:t>
      </w:r>
      <w:r w:rsidR="001B6A94">
        <w:rPr>
          <w:b/>
          <w:i/>
        </w:rPr>
        <w:t xml:space="preserve">SRS </w:t>
      </w:r>
      <w:r w:rsidR="001B6A94" w:rsidRPr="001B6A94">
        <w:rPr>
          <w:b/>
          <w:i/>
        </w:rPr>
        <w:t>symbols</w:t>
      </w:r>
      <w:r w:rsidRPr="002370F3">
        <w:rPr>
          <w:b/>
          <w:i/>
        </w:rPr>
        <w:t>.</w:t>
      </w:r>
      <w:r w:rsidR="001B6A94">
        <w:rPr>
          <w:b/>
          <w:i/>
        </w:rPr>
        <w:t xml:space="preserve"> </w:t>
      </w:r>
    </w:p>
    <w:p w14:paraId="5A11F1AE" w14:textId="4DE80A8C" w:rsidR="001B6A94" w:rsidRDefault="006D62AB" w:rsidP="001B6A94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Proposal </w:t>
      </w:r>
      <w:r w:rsidR="00BB35E1">
        <w:rPr>
          <w:b/>
          <w:i/>
        </w:rPr>
        <w:t>6</w:t>
      </w:r>
      <w:r w:rsidRPr="002370F3">
        <w:rPr>
          <w:b/>
          <w:i/>
        </w:rPr>
        <w:t xml:space="preserve">: </w:t>
      </w:r>
      <w:r w:rsidR="001B6A94">
        <w:rPr>
          <w:b/>
          <w:i/>
        </w:rPr>
        <w:t>Use 4 SRS symbols in the SRS slot.</w:t>
      </w:r>
    </w:p>
    <w:p w14:paraId="21237284" w14:textId="387F1DAD" w:rsidR="00B44D24" w:rsidRDefault="00B44D24" w:rsidP="00265B55">
      <w:pPr>
        <w:overflowPunct/>
        <w:autoSpaceDE/>
        <w:autoSpaceDN/>
        <w:adjustRightInd/>
        <w:spacing w:after="0"/>
        <w:textAlignment w:val="auto"/>
      </w:pPr>
    </w:p>
    <w:p w14:paraId="277C087E" w14:textId="39B69B25" w:rsidR="00DA2B70" w:rsidRDefault="00DA2B70" w:rsidP="00DA2B70">
      <w:pPr>
        <w:pStyle w:val="Heading2"/>
      </w:pPr>
      <w:r>
        <w:t>2.4. UL RMC</w:t>
      </w:r>
    </w:p>
    <w:p w14:paraId="41384A02" w14:textId="7A2280EA" w:rsidR="00DA2B70" w:rsidRDefault="00DA2B70" w:rsidP="00316CAB">
      <w:pPr>
        <w:overflowPunct/>
        <w:autoSpaceDE/>
        <w:autoSpaceDN/>
        <w:adjustRightInd/>
        <w:spacing w:after="0"/>
        <w:ind w:firstLine="284"/>
        <w:jc w:val="both"/>
        <w:textAlignment w:val="auto"/>
      </w:pPr>
      <w:r w:rsidRPr="00DA2B70">
        <w:t xml:space="preserve">The same RMC as used </w:t>
      </w:r>
      <w:r w:rsidR="00316CAB">
        <w:t>for</w:t>
      </w:r>
      <w:r w:rsidRPr="00DA2B70">
        <w:t xml:space="preserve"> EVM test</w:t>
      </w:r>
      <w:r w:rsidR="00316CAB">
        <w:t>ing should be used, it is described</w:t>
      </w:r>
      <w:r w:rsidRPr="00DA2B70">
        <w:t xml:space="preserve"> in Annex A.2</w:t>
      </w:r>
      <w:r w:rsidR="00316CAB">
        <w:t xml:space="preserve"> </w:t>
      </w:r>
      <w:bookmarkStart w:id="7" w:name="_Hlk110549477"/>
      <w:r w:rsidR="00316CAB">
        <w:t>of 38.101-1</w:t>
      </w:r>
      <w:bookmarkEnd w:id="7"/>
      <w:r w:rsidR="00316CAB">
        <w:t>[1] and 38.521-1 [5]</w:t>
      </w:r>
      <w:r w:rsidRPr="00DA2B70">
        <w:t xml:space="preserve">. QPSK and </w:t>
      </w:r>
      <w:proofErr w:type="spellStart"/>
      <w:r w:rsidRPr="00DA2B70">
        <w:t>Outer_full</w:t>
      </w:r>
      <w:proofErr w:type="spellEnd"/>
      <w:r w:rsidRPr="00DA2B70">
        <w:t xml:space="preserve"> is good enough for this test because modulation scheme seems not to affect the phase shift and we can easily analyse </w:t>
      </w:r>
      <w:proofErr w:type="gramStart"/>
      <w:r w:rsidRPr="00DA2B70">
        <w:t>QPSK .</w:t>
      </w:r>
      <w:proofErr w:type="gramEnd"/>
      <w:r w:rsidRPr="00DA2B70">
        <w:t xml:space="preserve"> Also, it is because more RB is used, more accuracy we would get due to averaging sample</w:t>
      </w:r>
      <w:r w:rsidR="006D62AB">
        <w:t>.</w:t>
      </w:r>
    </w:p>
    <w:p w14:paraId="18B8921D" w14:textId="77777777" w:rsidR="006D62AB" w:rsidRDefault="006D62AB" w:rsidP="00316CAB">
      <w:pPr>
        <w:overflowPunct/>
        <w:autoSpaceDE/>
        <w:autoSpaceDN/>
        <w:adjustRightInd/>
        <w:spacing w:after="0"/>
        <w:ind w:firstLine="284"/>
        <w:jc w:val="both"/>
        <w:textAlignment w:val="auto"/>
      </w:pPr>
    </w:p>
    <w:p w14:paraId="44E1C554" w14:textId="6D41D9C6" w:rsidR="006D62AB" w:rsidRPr="002370F3" w:rsidRDefault="006D62AB" w:rsidP="006D62AB">
      <w:pPr>
        <w:ind w:firstLine="284"/>
        <w:jc w:val="both"/>
        <w:rPr>
          <w:i/>
        </w:rPr>
      </w:pPr>
      <w:r w:rsidRPr="002370F3">
        <w:rPr>
          <w:b/>
          <w:i/>
        </w:rPr>
        <w:t xml:space="preserve">Observation </w:t>
      </w:r>
      <w:r w:rsidR="00BB35E1">
        <w:rPr>
          <w:b/>
          <w:i/>
        </w:rPr>
        <w:t>7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 w:rsidR="001B6A94">
        <w:rPr>
          <w:b/>
          <w:i/>
        </w:rPr>
        <w:t xml:space="preserve">The UL RMC described in Annex A.2 </w:t>
      </w:r>
      <w:r w:rsidR="001B6A94" w:rsidRPr="001B6A94">
        <w:rPr>
          <w:b/>
          <w:i/>
        </w:rPr>
        <w:t>of 38.101-1</w:t>
      </w:r>
      <w:r w:rsidR="001B6A94">
        <w:rPr>
          <w:b/>
          <w:i/>
        </w:rPr>
        <w:t xml:space="preserve"> gives enough flexibility for 6.4D.4 requirement compliance checking</w:t>
      </w:r>
      <w:r w:rsidRPr="002370F3">
        <w:rPr>
          <w:b/>
          <w:i/>
        </w:rPr>
        <w:t>.</w:t>
      </w:r>
    </w:p>
    <w:p w14:paraId="245C0B19" w14:textId="1993033D" w:rsidR="00DE5209" w:rsidRDefault="006D62AB" w:rsidP="006D62AB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Proposal </w:t>
      </w:r>
      <w:r w:rsidR="00BB35E1">
        <w:rPr>
          <w:b/>
          <w:i/>
        </w:rPr>
        <w:t>7</w:t>
      </w:r>
      <w:r w:rsidRPr="002370F3">
        <w:rPr>
          <w:b/>
          <w:i/>
        </w:rPr>
        <w:t xml:space="preserve">: </w:t>
      </w:r>
      <w:r w:rsidR="001B6A94" w:rsidRPr="001B6A94">
        <w:rPr>
          <w:b/>
          <w:i/>
        </w:rPr>
        <w:t>UL RMC described in Annex A.2</w:t>
      </w:r>
      <w:r w:rsidR="001B6A94">
        <w:rPr>
          <w:b/>
          <w:i/>
        </w:rPr>
        <w:t xml:space="preserve"> </w:t>
      </w:r>
      <w:r w:rsidR="001B6A94" w:rsidRPr="001B6A94">
        <w:rPr>
          <w:b/>
          <w:i/>
        </w:rPr>
        <w:t>of 38.101-1</w:t>
      </w:r>
      <w:r w:rsidR="001B6A94">
        <w:rPr>
          <w:b/>
          <w:i/>
        </w:rPr>
        <w:t xml:space="preserve"> should be used in the context of </w:t>
      </w:r>
      <w:r w:rsidR="001B6A94" w:rsidRPr="001B6A94">
        <w:rPr>
          <w:b/>
          <w:i/>
        </w:rPr>
        <w:t>6.4D.4 requirement</w:t>
      </w:r>
      <w:r w:rsidR="001B6A94">
        <w:rPr>
          <w:b/>
          <w:i/>
        </w:rPr>
        <w:t>s</w:t>
      </w:r>
      <w:r w:rsidRPr="002370F3">
        <w:rPr>
          <w:b/>
          <w:i/>
        </w:rPr>
        <w:t>.</w:t>
      </w:r>
    </w:p>
    <w:p w14:paraId="6A5420E7" w14:textId="77777777" w:rsidR="00DE5209" w:rsidRDefault="00DE5209">
      <w:pPr>
        <w:overflowPunct/>
        <w:autoSpaceDE/>
        <w:autoSpaceDN/>
        <w:adjustRightInd/>
        <w:spacing w:after="0"/>
        <w:textAlignment w:val="auto"/>
        <w:rPr>
          <w:b/>
          <w:i/>
        </w:rPr>
      </w:pPr>
      <w:r>
        <w:rPr>
          <w:b/>
          <w:i/>
        </w:rPr>
        <w:br w:type="page"/>
      </w:r>
    </w:p>
    <w:p w14:paraId="67ECFE3A" w14:textId="77777777" w:rsidR="00A61526" w:rsidRDefault="00CB0F78" w:rsidP="00CB0F78">
      <w:pPr>
        <w:pStyle w:val="Heading1"/>
      </w:pPr>
      <w:r>
        <w:lastRenderedPageBreak/>
        <w:t>3. Conclusion</w:t>
      </w:r>
    </w:p>
    <w:p w14:paraId="09E1F3D4" w14:textId="77777777" w:rsidR="008D68EF" w:rsidRDefault="008D68EF" w:rsidP="00CB0F78">
      <w:pPr>
        <w:ind w:firstLine="284"/>
      </w:pPr>
      <w:r w:rsidRPr="00025B06">
        <w:rPr>
          <w:rFonts w:eastAsia="MS Mincho"/>
        </w:rPr>
        <w:t>Based on the discussion above, we propose the following</w:t>
      </w:r>
      <w:r>
        <w:rPr>
          <w:rFonts w:eastAsia="MS Mincho"/>
        </w:rPr>
        <w:t>:</w:t>
      </w:r>
    </w:p>
    <w:p w14:paraId="64651D27" w14:textId="77777777" w:rsidR="00F0297F" w:rsidRPr="00F77D32" w:rsidRDefault="00F0297F" w:rsidP="00F0297F">
      <w:pPr>
        <w:ind w:firstLine="284"/>
        <w:jc w:val="both"/>
        <w:rPr>
          <w:b/>
          <w:i/>
        </w:rPr>
      </w:pPr>
      <w:r w:rsidRPr="00F77D32">
        <w:rPr>
          <w:b/>
          <w:i/>
        </w:rPr>
        <w:t xml:space="preserve">Observation </w:t>
      </w:r>
      <w:r>
        <w:rPr>
          <w:b/>
          <w:i/>
        </w:rPr>
        <w:t>1</w:t>
      </w:r>
      <w:r w:rsidRPr="00F77D32">
        <w:rPr>
          <w:b/>
          <w:i/>
        </w:rPr>
        <w:t>:</w:t>
      </w:r>
      <w:r w:rsidRPr="00F77D32">
        <w:rPr>
          <w:i/>
        </w:rPr>
        <w:t xml:space="preserve"> </w:t>
      </w:r>
      <w:r w:rsidRPr="00F77D32">
        <w:rPr>
          <w:b/>
          <w:i/>
        </w:rPr>
        <w:t>The UE may use:</w:t>
      </w:r>
    </w:p>
    <w:p w14:paraId="594EF101" w14:textId="3D8D394D" w:rsidR="00F0297F" w:rsidRPr="00DE5209" w:rsidRDefault="00F0297F" w:rsidP="00DE5209">
      <w:pPr>
        <w:pStyle w:val="ListParagraph"/>
        <w:numPr>
          <w:ilvl w:val="0"/>
          <w:numId w:val="26"/>
        </w:numPr>
        <w:jc w:val="both"/>
        <w:rPr>
          <w:i/>
        </w:rPr>
      </w:pPr>
      <w:r w:rsidRPr="00DE5209">
        <w:rPr>
          <w:b/>
          <w:i/>
        </w:rPr>
        <w:t>One SRS resource set with two SRS resources with each having one SRS port for non-codebook-based precoding.</w:t>
      </w:r>
      <w:r w:rsidR="00DE5209">
        <w:rPr>
          <w:b/>
          <w:i/>
        </w:rPr>
        <w:t xml:space="preserve"> </w:t>
      </w:r>
      <w:r w:rsidRPr="00DE5209">
        <w:rPr>
          <w:b/>
          <w:i/>
        </w:rPr>
        <w:t>Example: SRS ports 1000 and 1001 corresponding to two different SRS resources.</w:t>
      </w:r>
    </w:p>
    <w:p w14:paraId="11B04156" w14:textId="647B5FFF" w:rsidR="00F0297F" w:rsidRPr="00DE5209" w:rsidRDefault="00F0297F" w:rsidP="00DE5209">
      <w:pPr>
        <w:pStyle w:val="ListParagraph"/>
        <w:numPr>
          <w:ilvl w:val="0"/>
          <w:numId w:val="26"/>
        </w:numPr>
        <w:jc w:val="both"/>
        <w:rPr>
          <w:i/>
        </w:rPr>
      </w:pPr>
      <w:r w:rsidRPr="00DE5209">
        <w:rPr>
          <w:b/>
          <w:i/>
        </w:rPr>
        <w:t>One SRS resource set with one SRS resource with each having two SRS ports for codebook-based precoding.</w:t>
      </w:r>
      <w:r w:rsidR="00DE5209">
        <w:rPr>
          <w:b/>
          <w:i/>
        </w:rPr>
        <w:t xml:space="preserve"> </w:t>
      </w:r>
      <w:r w:rsidRPr="00DE5209">
        <w:rPr>
          <w:b/>
          <w:i/>
        </w:rPr>
        <w:t>Example: SRS ports 1000 and 1001 corresponding to a common SRS resource.</w:t>
      </w:r>
    </w:p>
    <w:p w14:paraId="0725A607" w14:textId="659523BF" w:rsidR="00F77D32" w:rsidRDefault="00F77D32" w:rsidP="00F77D32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Observation </w:t>
      </w:r>
      <w:r>
        <w:rPr>
          <w:b/>
          <w:i/>
        </w:rPr>
        <w:t>2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>
        <w:rPr>
          <w:b/>
          <w:i/>
        </w:rPr>
        <w:t xml:space="preserve">The higher the frequency density of SRS and </w:t>
      </w:r>
      <w:r w:rsidR="00B03550">
        <w:rPr>
          <w:b/>
          <w:i/>
        </w:rPr>
        <w:t>DMRS</w:t>
      </w:r>
      <w:r>
        <w:rPr>
          <w:b/>
          <w:i/>
        </w:rPr>
        <w:t xml:space="preserve"> the better the measurement due to averaging.</w:t>
      </w:r>
    </w:p>
    <w:p w14:paraId="4A5F02DB" w14:textId="711FC689" w:rsidR="00F77D32" w:rsidRDefault="00F77D32" w:rsidP="00F77D32">
      <w:pPr>
        <w:ind w:firstLine="284"/>
        <w:jc w:val="both"/>
        <w:rPr>
          <w:b/>
          <w:i/>
        </w:rPr>
      </w:pPr>
      <w:r>
        <w:rPr>
          <w:b/>
          <w:i/>
        </w:rPr>
        <w:t>Observation 3: It</w:t>
      </w:r>
      <w:r w:rsidRPr="00D26409">
        <w:rPr>
          <w:b/>
          <w:i/>
        </w:rPr>
        <w:t xml:space="preserve"> is the usage to compare similar frequencies</w:t>
      </w:r>
      <w:r>
        <w:rPr>
          <w:b/>
          <w:i/>
        </w:rPr>
        <w:t xml:space="preserve"> for calculating amplitude/phase difference</w:t>
      </w:r>
      <w:r w:rsidRPr="00D26409">
        <w:rPr>
          <w:b/>
          <w:i/>
        </w:rPr>
        <w:t xml:space="preserve"> and there may be a slight difference in case of non-alignment </w:t>
      </w:r>
      <w:r>
        <w:rPr>
          <w:b/>
          <w:i/>
        </w:rPr>
        <w:t xml:space="preserve">(as small as a SC) of the SRS </w:t>
      </w:r>
      <w:r w:rsidR="00DE5209">
        <w:rPr>
          <w:b/>
          <w:i/>
        </w:rPr>
        <w:t>and</w:t>
      </w:r>
      <w:r>
        <w:rPr>
          <w:b/>
          <w:i/>
        </w:rPr>
        <w:t xml:space="preserve"> </w:t>
      </w:r>
      <w:r w:rsidR="00B03550">
        <w:rPr>
          <w:b/>
          <w:i/>
        </w:rPr>
        <w:t>DMRS</w:t>
      </w:r>
      <w:r>
        <w:rPr>
          <w:b/>
          <w:i/>
        </w:rPr>
        <w:t xml:space="preserve"> SCs used for those calculations.</w:t>
      </w:r>
    </w:p>
    <w:p w14:paraId="478F9E17" w14:textId="0916E8DE" w:rsidR="00F77D32" w:rsidRDefault="00F77D32" w:rsidP="00F77D32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Observation </w:t>
      </w:r>
      <w:r w:rsidR="001B6A94">
        <w:rPr>
          <w:b/>
          <w:i/>
        </w:rPr>
        <w:t>4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 w:rsidR="00B03550">
        <w:rPr>
          <w:b/>
          <w:i/>
        </w:rPr>
        <w:t>DMRS</w:t>
      </w:r>
      <w:r w:rsidRPr="0004199F">
        <w:rPr>
          <w:b/>
          <w:i/>
        </w:rPr>
        <w:t xml:space="preserve"> mapping type A</w:t>
      </w:r>
      <w:r>
        <w:rPr>
          <w:b/>
          <w:i/>
        </w:rPr>
        <w:t xml:space="preserve"> with 3 </w:t>
      </w:r>
      <w:r w:rsidR="00B03550">
        <w:rPr>
          <w:b/>
          <w:i/>
        </w:rPr>
        <w:t>DMRS</w:t>
      </w:r>
      <w:r>
        <w:rPr>
          <w:b/>
          <w:i/>
        </w:rPr>
        <w:t xml:space="preserve"> symbols for each slot during the 20ms time window</w:t>
      </w:r>
      <w:r w:rsidRPr="002370F3">
        <w:rPr>
          <w:b/>
          <w:i/>
        </w:rPr>
        <w:t>.</w:t>
      </w:r>
    </w:p>
    <w:p w14:paraId="6F4F3A86" w14:textId="7CC9A4E5" w:rsidR="00BB35E1" w:rsidRPr="00BB35E1" w:rsidRDefault="00BB35E1" w:rsidP="00BB35E1">
      <w:pPr>
        <w:ind w:firstLine="284"/>
        <w:jc w:val="both"/>
        <w:rPr>
          <w:i/>
        </w:rPr>
      </w:pPr>
      <w:r w:rsidRPr="00BB35E1">
        <w:rPr>
          <w:b/>
          <w:i/>
        </w:rPr>
        <w:t>Observation 5: Having the REs corresponding to the “DMRS symbols” allocated only to DMRS</w:t>
      </w:r>
      <w:r w:rsidR="006B6EA8">
        <w:rPr>
          <w:b/>
          <w:i/>
        </w:rPr>
        <w:t xml:space="preserve"> (even SCs)</w:t>
      </w:r>
      <w:r w:rsidRPr="00BB35E1">
        <w:rPr>
          <w:b/>
          <w:i/>
        </w:rPr>
        <w:t xml:space="preserve"> or non-allocated</w:t>
      </w:r>
      <w:r w:rsidR="006B6EA8">
        <w:rPr>
          <w:b/>
          <w:i/>
        </w:rPr>
        <w:t xml:space="preserve"> to neither data or DMRS (odd SCs) </w:t>
      </w:r>
      <w:r w:rsidRPr="00BB35E1">
        <w:rPr>
          <w:b/>
          <w:i/>
        </w:rPr>
        <w:t>will ease greatly the measurements.</w:t>
      </w:r>
    </w:p>
    <w:p w14:paraId="32691877" w14:textId="77777777" w:rsidR="00AC5B07" w:rsidRPr="002370F3" w:rsidRDefault="00AC5B07" w:rsidP="00AC5B07">
      <w:pPr>
        <w:ind w:firstLine="284"/>
        <w:jc w:val="both"/>
        <w:rPr>
          <w:i/>
        </w:rPr>
      </w:pPr>
      <w:r w:rsidRPr="002370F3">
        <w:rPr>
          <w:b/>
          <w:i/>
        </w:rPr>
        <w:t xml:space="preserve">Observation </w:t>
      </w:r>
      <w:r>
        <w:rPr>
          <w:b/>
          <w:i/>
        </w:rPr>
        <w:t>6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 w:rsidRPr="001B6A94">
        <w:rPr>
          <w:b/>
          <w:i/>
        </w:rPr>
        <w:t xml:space="preserve">SRS Resources can span over 1,2, or 4 consecutive </w:t>
      </w:r>
      <w:r>
        <w:rPr>
          <w:b/>
          <w:i/>
        </w:rPr>
        <w:t xml:space="preserve">SRS </w:t>
      </w:r>
      <w:r w:rsidRPr="001B6A94">
        <w:rPr>
          <w:b/>
          <w:i/>
        </w:rPr>
        <w:t>symbols</w:t>
      </w:r>
      <w:r w:rsidRPr="002370F3">
        <w:rPr>
          <w:b/>
          <w:i/>
        </w:rPr>
        <w:t>.</w:t>
      </w:r>
      <w:r>
        <w:rPr>
          <w:b/>
          <w:i/>
        </w:rPr>
        <w:t xml:space="preserve"> </w:t>
      </w:r>
    </w:p>
    <w:p w14:paraId="4CB152A0" w14:textId="139F2F6B" w:rsidR="00DE5209" w:rsidRPr="002370F3" w:rsidRDefault="00DE5209" w:rsidP="00DE5209">
      <w:pPr>
        <w:ind w:firstLine="284"/>
        <w:jc w:val="both"/>
        <w:rPr>
          <w:i/>
        </w:rPr>
      </w:pPr>
      <w:r w:rsidRPr="002370F3">
        <w:rPr>
          <w:b/>
          <w:i/>
        </w:rPr>
        <w:t xml:space="preserve">Observation </w:t>
      </w:r>
      <w:r w:rsidR="00AC5B07">
        <w:rPr>
          <w:b/>
          <w:i/>
        </w:rPr>
        <w:t>7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>
        <w:rPr>
          <w:b/>
          <w:i/>
        </w:rPr>
        <w:t xml:space="preserve">The UL RMC described in Annex A.2 </w:t>
      </w:r>
      <w:r w:rsidRPr="001B6A94">
        <w:rPr>
          <w:b/>
          <w:i/>
        </w:rPr>
        <w:t>of 38.101-1</w:t>
      </w:r>
      <w:r>
        <w:rPr>
          <w:b/>
          <w:i/>
        </w:rPr>
        <w:t xml:space="preserve"> gives enough flexibility for 6.4D.4 requirement compliance checking</w:t>
      </w:r>
      <w:r w:rsidRPr="002370F3">
        <w:rPr>
          <w:b/>
          <w:i/>
        </w:rPr>
        <w:t>.</w:t>
      </w:r>
    </w:p>
    <w:p w14:paraId="0B6AF393" w14:textId="77777777" w:rsidR="00F0297F" w:rsidRDefault="00F0297F" w:rsidP="00F0297F">
      <w:pPr>
        <w:ind w:firstLine="284"/>
        <w:jc w:val="both"/>
        <w:rPr>
          <w:b/>
          <w:i/>
        </w:rPr>
      </w:pPr>
      <w:r w:rsidRPr="00F77D32">
        <w:rPr>
          <w:b/>
          <w:i/>
        </w:rPr>
        <w:t xml:space="preserve">Proposal </w:t>
      </w:r>
      <w:r>
        <w:rPr>
          <w:b/>
          <w:i/>
        </w:rPr>
        <w:t>1</w:t>
      </w:r>
      <w:r w:rsidRPr="00F77D32">
        <w:rPr>
          <w:b/>
          <w:i/>
        </w:rPr>
        <w:t xml:space="preserve">: </w:t>
      </w:r>
      <w:r>
        <w:rPr>
          <w:b/>
          <w:i/>
        </w:rPr>
        <w:t>The same SRS resource mapping should be used for non-codebook-based and codebook-based precoding when checking compliance to 6.4D.4 requirements.</w:t>
      </w:r>
    </w:p>
    <w:p w14:paraId="761569CC" w14:textId="0DD6D8C8" w:rsidR="00F77D32" w:rsidRDefault="00F77D32" w:rsidP="00F77D32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Proposal </w:t>
      </w:r>
      <w:r>
        <w:rPr>
          <w:b/>
          <w:i/>
        </w:rPr>
        <w:t>2</w:t>
      </w:r>
      <w:r w:rsidRPr="002370F3">
        <w:rPr>
          <w:b/>
          <w:i/>
        </w:rPr>
        <w:t xml:space="preserve">: </w:t>
      </w:r>
      <w:r w:rsidR="00B03550">
        <w:rPr>
          <w:b/>
          <w:i/>
        </w:rPr>
        <w:t>DMRS</w:t>
      </w:r>
      <w:r w:rsidRPr="005D0257">
        <w:rPr>
          <w:b/>
          <w:i/>
        </w:rPr>
        <w:t xml:space="preserve"> configuration type 1 and SRS comb2 configuration</w:t>
      </w:r>
      <w:r>
        <w:rPr>
          <w:b/>
          <w:i/>
        </w:rPr>
        <w:t xml:space="preserve"> should be used for check</w:t>
      </w:r>
      <w:r w:rsidR="00DE5209">
        <w:rPr>
          <w:b/>
          <w:i/>
        </w:rPr>
        <w:t>ing</w:t>
      </w:r>
      <w:r>
        <w:rPr>
          <w:b/>
          <w:i/>
        </w:rPr>
        <w:t xml:space="preserve"> compliance to 6.4D.4 requirements</w:t>
      </w:r>
      <w:r w:rsidRPr="002370F3">
        <w:rPr>
          <w:b/>
          <w:i/>
        </w:rPr>
        <w:t>.</w:t>
      </w:r>
    </w:p>
    <w:p w14:paraId="2E88AABA" w14:textId="3385ECAD" w:rsidR="00F77D32" w:rsidRPr="002370F3" w:rsidRDefault="00F77D32" w:rsidP="00F77D32">
      <w:pPr>
        <w:ind w:firstLine="284"/>
        <w:jc w:val="both"/>
        <w:rPr>
          <w:i/>
        </w:rPr>
      </w:pPr>
      <w:r>
        <w:rPr>
          <w:b/>
          <w:i/>
        </w:rPr>
        <w:t xml:space="preserve">Proposal 3: The SRS and </w:t>
      </w:r>
      <w:r w:rsidR="00B03550">
        <w:rPr>
          <w:b/>
          <w:i/>
        </w:rPr>
        <w:t>DMRS</w:t>
      </w:r>
      <w:r>
        <w:rPr>
          <w:b/>
          <w:i/>
        </w:rPr>
        <w:t xml:space="preserve"> should occupy identical SCs.</w:t>
      </w:r>
    </w:p>
    <w:p w14:paraId="4C0A5F89" w14:textId="359D4C77" w:rsidR="00F77D32" w:rsidRDefault="00F77D32" w:rsidP="00F77D32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Proposal </w:t>
      </w:r>
      <w:r>
        <w:rPr>
          <w:b/>
          <w:i/>
        </w:rPr>
        <w:t>4</w:t>
      </w:r>
      <w:r w:rsidRPr="002370F3">
        <w:rPr>
          <w:b/>
          <w:i/>
        </w:rPr>
        <w:t xml:space="preserve">: </w:t>
      </w:r>
      <w:r>
        <w:rPr>
          <w:b/>
          <w:i/>
        </w:rPr>
        <w:t xml:space="preserve">Use of </w:t>
      </w:r>
      <w:r w:rsidR="00B03550">
        <w:rPr>
          <w:b/>
          <w:i/>
        </w:rPr>
        <w:t>DMRS</w:t>
      </w:r>
      <w:r>
        <w:rPr>
          <w:b/>
          <w:i/>
        </w:rPr>
        <w:t xml:space="preserve"> mapping type A with 3 </w:t>
      </w:r>
      <w:r w:rsidR="00B03550">
        <w:rPr>
          <w:b/>
          <w:i/>
        </w:rPr>
        <w:t>DMRS</w:t>
      </w:r>
      <w:r>
        <w:rPr>
          <w:b/>
          <w:i/>
        </w:rPr>
        <w:t xml:space="preserve"> symbols</w:t>
      </w:r>
      <w:r w:rsidRPr="002370F3">
        <w:rPr>
          <w:b/>
          <w:i/>
        </w:rPr>
        <w:t>.</w:t>
      </w:r>
    </w:p>
    <w:p w14:paraId="6DDD84F6" w14:textId="77777777" w:rsidR="00AC5B07" w:rsidRDefault="00AC5B07" w:rsidP="00AC5B07">
      <w:pPr>
        <w:ind w:firstLine="284"/>
        <w:jc w:val="both"/>
        <w:rPr>
          <w:b/>
          <w:i/>
        </w:rPr>
      </w:pPr>
      <w:r w:rsidRPr="00BB35E1">
        <w:rPr>
          <w:b/>
          <w:i/>
        </w:rPr>
        <w:t>Proposal 5: The REs corresponding to the odd subcarriers and DMRS symbols should be non-allocated for data or DMRS.</w:t>
      </w:r>
    </w:p>
    <w:p w14:paraId="27608BB2" w14:textId="1A93B13B" w:rsidR="00DE5209" w:rsidRPr="00200E24" w:rsidRDefault="00DE5209" w:rsidP="00DE5209">
      <w:pPr>
        <w:ind w:firstLine="284"/>
        <w:jc w:val="both"/>
        <w:rPr>
          <w:b/>
          <w:i/>
        </w:rPr>
      </w:pPr>
      <w:r w:rsidRPr="00200E24">
        <w:rPr>
          <w:b/>
          <w:i/>
        </w:rPr>
        <w:t xml:space="preserve">Proposal </w:t>
      </w:r>
      <w:r w:rsidR="00AC5B07">
        <w:rPr>
          <w:b/>
          <w:i/>
        </w:rPr>
        <w:t>6</w:t>
      </w:r>
      <w:r w:rsidRPr="00200E24">
        <w:rPr>
          <w:b/>
          <w:i/>
        </w:rPr>
        <w:t>: Use 4 SRS symbols in the SRS slot.</w:t>
      </w:r>
    </w:p>
    <w:p w14:paraId="377C54B5" w14:textId="1D07A176" w:rsidR="00DE5209" w:rsidRDefault="00DE5209" w:rsidP="00DE5209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Proposal </w:t>
      </w:r>
      <w:r w:rsidR="00AC5B07">
        <w:rPr>
          <w:b/>
          <w:i/>
        </w:rPr>
        <w:t>7</w:t>
      </w:r>
      <w:r w:rsidRPr="002370F3">
        <w:rPr>
          <w:b/>
          <w:i/>
        </w:rPr>
        <w:t xml:space="preserve">: </w:t>
      </w:r>
      <w:r w:rsidRPr="001B6A94">
        <w:rPr>
          <w:b/>
          <w:i/>
        </w:rPr>
        <w:t>UL RMC described in Annex A.2</w:t>
      </w:r>
      <w:r>
        <w:rPr>
          <w:b/>
          <w:i/>
        </w:rPr>
        <w:t xml:space="preserve"> </w:t>
      </w:r>
      <w:r w:rsidRPr="001B6A94">
        <w:rPr>
          <w:b/>
          <w:i/>
        </w:rPr>
        <w:t>of 38.101-1</w:t>
      </w:r>
      <w:r>
        <w:rPr>
          <w:b/>
          <w:i/>
        </w:rPr>
        <w:t xml:space="preserve"> should be used in the context of </w:t>
      </w:r>
      <w:r w:rsidRPr="001B6A94">
        <w:rPr>
          <w:b/>
          <w:i/>
        </w:rPr>
        <w:t>6.4D.4 requirement</w:t>
      </w:r>
      <w:r>
        <w:rPr>
          <w:b/>
          <w:i/>
        </w:rPr>
        <w:t>s</w:t>
      </w:r>
      <w:r w:rsidRPr="002370F3">
        <w:rPr>
          <w:b/>
          <w:i/>
        </w:rPr>
        <w:t>.</w:t>
      </w:r>
    </w:p>
    <w:p w14:paraId="44FFECED" w14:textId="77777777" w:rsidR="002D7716" w:rsidRDefault="002D7716" w:rsidP="002D7716">
      <w:pPr>
        <w:pStyle w:val="Heading1"/>
      </w:pPr>
      <w:r>
        <w:t>4. References</w:t>
      </w:r>
    </w:p>
    <w:p w14:paraId="293117FE" w14:textId="77777777" w:rsidR="00397936" w:rsidRPr="0043470A" w:rsidRDefault="00397936" w:rsidP="00397936">
      <w:r w:rsidRPr="0043470A">
        <w:t xml:space="preserve">[1] </w:t>
      </w:r>
      <w:r w:rsidRPr="00397936">
        <w:t>R4-2210682/R4-2209151/2</w:t>
      </w:r>
      <w:r w:rsidRPr="0043470A">
        <w:t>, “</w:t>
      </w:r>
      <w:r w:rsidRPr="00397936">
        <w:t>Draft CRs to add Annex G for FR1 UL coherent MIMO (Rel. 15/16/17)</w:t>
      </w:r>
      <w:r w:rsidRPr="0043470A">
        <w:t>”, Anritsu Limited, RAN4 #10</w:t>
      </w:r>
      <w:r>
        <w:t>3</w:t>
      </w:r>
      <w:r w:rsidRPr="0043470A">
        <w:t xml:space="preserve">-e, </w:t>
      </w:r>
      <w:r>
        <w:t>May</w:t>
      </w:r>
      <w:r w:rsidRPr="0043470A">
        <w:t xml:space="preserve"> 2022</w:t>
      </w:r>
    </w:p>
    <w:p w14:paraId="5B722138" w14:textId="77777777" w:rsidR="00397936" w:rsidRPr="0043470A" w:rsidRDefault="00397936" w:rsidP="00397936">
      <w:r w:rsidRPr="0043470A">
        <w:t>[</w:t>
      </w:r>
      <w:r>
        <w:t>2</w:t>
      </w:r>
      <w:r w:rsidRPr="0043470A">
        <w:t xml:space="preserve">] </w:t>
      </w:r>
      <w:r w:rsidRPr="00397936">
        <w:t>R4-2209149</w:t>
      </w:r>
      <w:r w:rsidRPr="0043470A">
        <w:t>, “</w:t>
      </w:r>
      <w:r w:rsidRPr="00397936">
        <w:t>Contribution on FR1 UL coherent MIMO</w:t>
      </w:r>
      <w:r w:rsidRPr="0043470A">
        <w:t>”, Anritsu Limited, RAN4 #10</w:t>
      </w:r>
      <w:r>
        <w:t>3</w:t>
      </w:r>
      <w:r w:rsidRPr="0043470A">
        <w:t xml:space="preserve">-e, </w:t>
      </w:r>
      <w:r>
        <w:t>May</w:t>
      </w:r>
      <w:r w:rsidRPr="0043470A">
        <w:t xml:space="preserve"> 2022</w:t>
      </w:r>
    </w:p>
    <w:p w14:paraId="44715927" w14:textId="77777777" w:rsidR="002D7716" w:rsidRPr="0043470A" w:rsidRDefault="002D7716" w:rsidP="002D7716">
      <w:r w:rsidRPr="0043470A">
        <w:t>[</w:t>
      </w:r>
      <w:r w:rsidR="00397936">
        <w:t>3</w:t>
      </w:r>
      <w:r w:rsidRPr="0043470A">
        <w:t xml:space="preserve">] </w:t>
      </w:r>
      <w:r w:rsidR="00DF2B84" w:rsidRPr="00DF2B84">
        <w:t>R4-2210541</w:t>
      </w:r>
      <w:r w:rsidRPr="0043470A">
        <w:t>, “WF on FR1 UL coherent MIMO”, Anritsu Limited, RAN4 #10</w:t>
      </w:r>
      <w:r w:rsidR="00397936">
        <w:t>3</w:t>
      </w:r>
      <w:r w:rsidRPr="0043470A">
        <w:t xml:space="preserve">-e, </w:t>
      </w:r>
      <w:r w:rsidR="00397936">
        <w:t>May</w:t>
      </w:r>
      <w:r w:rsidRPr="0043470A">
        <w:t xml:space="preserve"> 2022</w:t>
      </w:r>
    </w:p>
    <w:p w14:paraId="4B761804" w14:textId="77777777" w:rsidR="002D7716" w:rsidRPr="0043470A" w:rsidRDefault="002D7716" w:rsidP="002D7716">
      <w:r w:rsidRPr="0043470A">
        <w:t>[</w:t>
      </w:r>
      <w:r w:rsidR="00397936">
        <w:t>4</w:t>
      </w:r>
      <w:r w:rsidRPr="0043470A">
        <w:t>] 38-101-1, “NR; User Equipment (UE) radio transmission and reception; Part 1: Range 1 Standalone”, version 1</w:t>
      </w:r>
      <w:r w:rsidR="0043470A" w:rsidRPr="0043470A">
        <w:t>5</w:t>
      </w:r>
      <w:r w:rsidRPr="0043470A">
        <w:t>.</w:t>
      </w:r>
      <w:r w:rsidR="0043470A" w:rsidRPr="0043470A">
        <w:t>1</w:t>
      </w:r>
      <w:r w:rsidR="007148EA">
        <w:t>8</w:t>
      </w:r>
      <w:r w:rsidRPr="0043470A">
        <w:t>.0</w:t>
      </w:r>
    </w:p>
    <w:p w14:paraId="63A1CE75" w14:textId="49BB91E6" w:rsidR="00144E66" w:rsidRPr="00F7246B" w:rsidRDefault="00D32952" w:rsidP="00DE5209">
      <w:r w:rsidRPr="0043470A">
        <w:t>[</w:t>
      </w:r>
      <w:r w:rsidR="00397936">
        <w:t>5</w:t>
      </w:r>
      <w:r w:rsidRPr="0043470A">
        <w:t>] 38-521-1, “NR; User Equipment (UE) conformance specification; Part 1: Range 1 Standalone”, version 1</w:t>
      </w:r>
      <w:r w:rsidR="0087305C">
        <w:t>7</w:t>
      </w:r>
      <w:r w:rsidRPr="0043470A">
        <w:t>.</w:t>
      </w:r>
      <w:r w:rsidR="0087305C">
        <w:t>5</w:t>
      </w:r>
      <w:r w:rsidRPr="0043470A">
        <w:t>.0</w:t>
      </w:r>
    </w:p>
    <w:sectPr w:rsidR="00144E66" w:rsidRPr="00F7246B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5579E" w14:textId="77777777" w:rsidR="00733278" w:rsidRDefault="00733278">
      <w:pPr>
        <w:spacing w:after="0"/>
      </w:pPr>
      <w:r>
        <w:separator/>
      </w:r>
    </w:p>
  </w:endnote>
  <w:endnote w:type="continuationSeparator" w:id="0">
    <w:p w14:paraId="68095C6F" w14:textId="77777777" w:rsidR="00733278" w:rsidRDefault="007332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D56EE" w14:textId="77777777" w:rsidR="00733278" w:rsidRDefault="00733278">
      <w:pPr>
        <w:spacing w:after="0"/>
      </w:pPr>
      <w:r>
        <w:separator/>
      </w:r>
    </w:p>
  </w:footnote>
  <w:footnote w:type="continuationSeparator" w:id="0">
    <w:p w14:paraId="1A0F9037" w14:textId="77777777" w:rsidR="00733278" w:rsidRDefault="007332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6E8F7" w14:textId="77777777" w:rsidR="00AC5068" w:rsidRDefault="00AC50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2A62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4EE0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414580"/>
    <w:multiLevelType w:val="hybridMultilevel"/>
    <w:tmpl w:val="F41457D8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8B60C4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20B1A"/>
    <w:multiLevelType w:val="hybridMultilevel"/>
    <w:tmpl w:val="30F6A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783611"/>
    <w:multiLevelType w:val="hybridMultilevel"/>
    <w:tmpl w:val="DB0A956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F82AB5"/>
    <w:multiLevelType w:val="hybridMultilevel"/>
    <w:tmpl w:val="24D68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8127E"/>
    <w:multiLevelType w:val="hybridMultilevel"/>
    <w:tmpl w:val="3AB6E3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55157"/>
    <w:multiLevelType w:val="hybridMultilevel"/>
    <w:tmpl w:val="1F8216EC"/>
    <w:lvl w:ilvl="0" w:tplc="34B8BD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B0F5C"/>
    <w:multiLevelType w:val="hybridMultilevel"/>
    <w:tmpl w:val="53F8D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A6E74"/>
    <w:multiLevelType w:val="hybridMultilevel"/>
    <w:tmpl w:val="55342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E25ED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D680B"/>
    <w:multiLevelType w:val="hybridMultilevel"/>
    <w:tmpl w:val="70DAF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110EA"/>
    <w:multiLevelType w:val="hybridMultilevel"/>
    <w:tmpl w:val="A00420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3A8122A"/>
    <w:multiLevelType w:val="hybridMultilevel"/>
    <w:tmpl w:val="3266E178"/>
    <w:lvl w:ilvl="0" w:tplc="080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8" w15:restartNumberingAfterBreak="0">
    <w:nsid w:val="53C331DF"/>
    <w:multiLevelType w:val="hybridMultilevel"/>
    <w:tmpl w:val="CEF63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83B24"/>
    <w:multiLevelType w:val="hybridMultilevel"/>
    <w:tmpl w:val="37B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14395"/>
    <w:multiLevelType w:val="hybridMultilevel"/>
    <w:tmpl w:val="C50624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B4E1A"/>
    <w:multiLevelType w:val="multilevel"/>
    <w:tmpl w:val="0CF2115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725F732B"/>
    <w:multiLevelType w:val="hybridMultilevel"/>
    <w:tmpl w:val="32647E9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67C4BCB"/>
    <w:multiLevelType w:val="hybridMultilevel"/>
    <w:tmpl w:val="BC848E8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D23034"/>
    <w:multiLevelType w:val="hybridMultilevel"/>
    <w:tmpl w:val="D8A016D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E40433B"/>
    <w:multiLevelType w:val="hybridMultilevel"/>
    <w:tmpl w:val="C7B4F7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8"/>
  </w:num>
  <w:num w:numId="5">
    <w:abstractNumId w:val="18"/>
  </w:num>
  <w:num w:numId="6">
    <w:abstractNumId w:val="15"/>
  </w:num>
  <w:num w:numId="7">
    <w:abstractNumId w:val="16"/>
  </w:num>
  <w:num w:numId="8">
    <w:abstractNumId w:val="2"/>
  </w:num>
  <w:num w:numId="9">
    <w:abstractNumId w:val="20"/>
  </w:num>
  <w:num w:numId="10">
    <w:abstractNumId w:val="24"/>
  </w:num>
  <w:num w:numId="11">
    <w:abstractNumId w:val="6"/>
  </w:num>
  <w:num w:numId="12">
    <w:abstractNumId w:val="17"/>
  </w:num>
  <w:num w:numId="13">
    <w:abstractNumId w:val="13"/>
  </w:num>
  <w:num w:numId="14">
    <w:abstractNumId w:val="0"/>
  </w:num>
  <w:num w:numId="15">
    <w:abstractNumId w:val="4"/>
  </w:num>
  <w:num w:numId="16">
    <w:abstractNumId w:val="26"/>
  </w:num>
  <w:num w:numId="17">
    <w:abstractNumId w:val="11"/>
  </w:num>
  <w:num w:numId="18">
    <w:abstractNumId w:val="5"/>
  </w:num>
  <w:num w:numId="19">
    <w:abstractNumId w:val="21"/>
  </w:num>
  <w:num w:numId="20">
    <w:abstractNumId w:val="14"/>
  </w:num>
  <w:num w:numId="21">
    <w:abstractNumId w:val="23"/>
  </w:num>
  <w:num w:numId="22">
    <w:abstractNumId w:val="7"/>
  </w:num>
  <w:num w:numId="23">
    <w:abstractNumId w:val="25"/>
  </w:num>
  <w:num w:numId="24">
    <w:abstractNumId w:val="3"/>
  </w:num>
  <w:num w:numId="25">
    <w:abstractNumId w:val="19"/>
  </w:num>
  <w:num w:numId="26">
    <w:abstractNumId w:val="2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552"/>
    <w:rsid w:val="00000617"/>
    <w:rsid w:val="00004652"/>
    <w:rsid w:val="00007B46"/>
    <w:rsid w:val="000237CA"/>
    <w:rsid w:val="0002676C"/>
    <w:rsid w:val="0004199F"/>
    <w:rsid w:val="000454C0"/>
    <w:rsid w:val="000454C9"/>
    <w:rsid w:val="00047FBF"/>
    <w:rsid w:val="00055F85"/>
    <w:rsid w:val="00056DBD"/>
    <w:rsid w:val="0006657B"/>
    <w:rsid w:val="00072609"/>
    <w:rsid w:val="00076969"/>
    <w:rsid w:val="000823B0"/>
    <w:rsid w:val="00095A5A"/>
    <w:rsid w:val="000A6CA9"/>
    <w:rsid w:val="000B7B2A"/>
    <w:rsid w:val="000C014C"/>
    <w:rsid w:val="000C2061"/>
    <w:rsid w:val="000C3927"/>
    <w:rsid w:val="000C5789"/>
    <w:rsid w:val="000D07CD"/>
    <w:rsid w:val="000D1D31"/>
    <w:rsid w:val="000D5557"/>
    <w:rsid w:val="000E1179"/>
    <w:rsid w:val="000E67B2"/>
    <w:rsid w:val="00101EAC"/>
    <w:rsid w:val="001046E7"/>
    <w:rsid w:val="001067CB"/>
    <w:rsid w:val="001119CC"/>
    <w:rsid w:val="00112467"/>
    <w:rsid w:val="00113515"/>
    <w:rsid w:val="00115384"/>
    <w:rsid w:val="00144E66"/>
    <w:rsid w:val="00146CBF"/>
    <w:rsid w:val="00157EC2"/>
    <w:rsid w:val="00160A99"/>
    <w:rsid w:val="00162891"/>
    <w:rsid w:val="001778EF"/>
    <w:rsid w:val="001829D3"/>
    <w:rsid w:val="001850F5"/>
    <w:rsid w:val="001A17D3"/>
    <w:rsid w:val="001B6A94"/>
    <w:rsid w:val="001B7D8C"/>
    <w:rsid w:val="001C0ED8"/>
    <w:rsid w:val="001D417B"/>
    <w:rsid w:val="001D7B2D"/>
    <w:rsid w:val="001E23F3"/>
    <w:rsid w:val="001E2DBA"/>
    <w:rsid w:val="001E3F7B"/>
    <w:rsid w:val="001E6D07"/>
    <w:rsid w:val="001F2A5A"/>
    <w:rsid w:val="001F3705"/>
    <w:rsid w:val="001F60A7"/>
    <w:rsid w:val="001F6C59"/>
    <w:rsid w:val="00200E24"/>
    <w:rsid w:val="00210543"/>
    <w:rsid w:val="00215F62"/>
    <w:rsid w:val="00227127"/>
    <w:rsid w:val="00232B4B"/>
    <w:rsid w:val="00234CCC"/>
    <w:rsid w:val="00236A7E"/>
    <w:rsid w:val="002370F3"/>
    <w:rsid w:val="00240BAB"/>
    <w:rsid w:val="002410A0"/>
    <w:rsid w:val="00242DBD"/>
    <w:rsid w:val="00247A5F"/>
    <w:rsid w:val="00253849"/>
    <w:rsid w:val="002557BA"/>
    <w:rsid w:val="002659A4"/>
    <w:rsid w:val="00265B55"/>
    <w:rsid w:val="00270E1E"/>
    <w:rsid w:val="00271672"/>
    <w:rsid w:val="00273610"/>
    <w:rsid w:val="00281281"/>
    <w:rsid w:val="00282A3C"/>
    <w:rsid w:val="00283F8C"/>
    <w:rsid w:val="0029552F"/>
    <w:rsid w:val="002A07EA"/>
    <w:rsid w:val="002C19B0"/>
    <w:rsid w:val="002C79A6"/>
    <w:rsid w:val="002D0174"/>
    <w:rsid w:val="002D0866"/>
    <w:rsid w:val="002D5659"/>
    <w:rsid w:val="002D7716"/>
    <w:rsid w:val="002F2841"/>
    <w:rsid w:val="002F7AC5"/>
    <w:rsid w:val="0030080A"/>
    <w:rsid w:val="003077D5"/>
    <w:rsid w:val="00311202"/>
    <w:rsid w:val="0031153B"/>
    <w:rsid w:val="00316CAB"/>
    <w:rsid w:val="00321B4C"/>
    <w:rsid w:val="003247E1"/>
    <w:rsid w:val="00341DF5"/>
    <w:rsid w:val="00354C7C"/>
    <w:rsid w:val="00356E5F"/>
    <w:rsid w:val="0035702E"/>
    <w:rsid w:val="00370CD5"/>
    <w:rsid w:val="003711A6"/>
    <w:rsid w:val="003771C5"/>
    <w:rsid w:val="003812E8"/>
    <w:rsid w:val="0039337E"/>
    <w:rsid w:val="00397936"/>
    <w:rsid w:val="00397AD1"/>
    <w:rsid w:val="003B1984"/>
    <w:rsid w:val="003B71D6"/>
    <w:rsid w:val="003C3136"/>
    <w:rsid w:val="003C35D0"/>
    <w:rsid w:val="003D1A56"/>
    <w:rsid w:val="003D5D57"/>
    <w:rsid w:val="003D7A23"/>
    <w:rsid w:val="003E11CE"/>
    <w:rsid w:val="003E40B9"/>
    <w:rsid w:val="003E4FAB"/>
    <w:rsid w:val="003E52CE"/>
    <w:rsid w:val="003E771B"/>
    <w:rsid w:val="003F1A3E"/>
    <w:rsid w:val="003F36B9"/>
    <w:rsid w:val="003F5578"/>
    <w:rsid w:val="00412AF4"/>
    <w:rsid w:val="004200B8"/>
    <w:rsid w:val="00421D63"/>
    <w:rsid w:val="0043470A"/>
    <w:rsid w:val="00461355"/>
    <w:rsid w:val="00477D10"/>
    <w:rsid w:val="004801F5"/>
    <w:rsid w:val="004814E3"/>
    <w:rsid w:val="00486134"/>
    <w:rsid w:val="004B5D41"/>
    <w:rsid w:val="004B7B4D"/>
    <w:rsid w:val="004D215A"/>
    <w:rsid w:val="004E074B"/>
    <w:rsid w:val="004E61A9"/>
    <w:rsid w:val="004F5987"/>
    <w:rsid w:val="004F65C7"/>
    <w:rsid w:val="004F7FCF"/>
    <w:rsid w:val="005017BB"/>
    <w:rsid w:val="00503CDF"/>
    <w:rsid w:val="005057E1"/>
    <w:rsid w:val="0051301A"/>
    <w:rsid w:val="00516769"/>
    <w:rsid w:val="005215DB"/>
    <w:rsid w:val="00522C2E"/>
    <w:rsid w:val="00524B8B"/>
    <w:rsid w:val="0053254D"/>
    <w:rsid w:val="0054298C"/>
    <w:rsid w:val="00544528"/>
    <w:rsid w:val="00551AC5"/>
    <w:rsid w:val="00556AD8"/>
    <w:rsid w:val="005665A1"/>
    <w:rsid w:val="00566949"/>
    <w:rsid w:val="00585769"/>
    <w:rsid w:val="00592A30"/>
    <w:rsid w:val="00593DF6"/>
    <w:rsid w:val="0059793E"/>
    <w:rsid w:val="00597BD7"/>
    <w:rsid w:val="005A1527"/>
    <w:rsid w:val="005A271C"/>
    <w:rsid w:val="005B0BB2"/>
    <w:rsid w:val="005B56E5"/>
    <w:rsid w:val="005B5EDF"/>
    <w:rsid w:val="005B7847"/>
    <w:rsid w:val="005C4621"/>
    <w:rsid w:val="005D0257"/>
    <w:rsid w:val="005D5EBF"/>
    <w:rsid w:val="005F2C48"/>
    <w:rsid w:val="005F6044"/>
    <w:rsid w:val="00602E69"/>
    <w:rsid w:val="00606669"/>
    <w:rsid w:val="00614F25"/>
    <w:rsid w:val="00617960"/>
    <w:rsid w:val="00620D32"/>
    <w:rsid w:val="00633F0C"/>
    <w:rsid w:val="00667A99"/>
    <w:rsid w:val="00677E49"/>
    <w:rsid w:val="00682E2F"/>
    <w:rsid w:val="006936F1"/>
    <w:rsid w:val="006A3119"/>
    <w:rsid w:val="006A6575"/>
    <w:rsid w:val="006B11A0"/>
    <w:rsid w:val="006B5EB7"/>
    <w:rsid w:val="006B641D"/>
    <w:rsid w:val="006B6EA8"/>
    <w:rsid w:val="006C1C12"/>
    <w:rsid w:val="006C3E52"/>
    <w:rsid w:val="006C49C7"/>
    <w:rsid w:val="006C5167"/>
    <w:rsid w:val="006D55F9"/>
    <w:rsid w:val="006D62AB"/>
    <w:rsid w:val="006D7CD5"/>
    <w:rsid w:val="006E356C"/>
    <w:rsid w:val="006E44C3"/>
    <w:rsid w:val="006F29B0"/>
    <w:rsid w:val="00702C41"/>
    <w:rsid w:val="00705250"/>
    <w:rsid w:val="007066B4"/>
    <w:rsid w:val="0070681C"/>
    <w:rsid w:val="00711E5C"/>
    <w:rsid w:val="007148EA"/>
    <w:rsid w:val="00725552"/>
    <w:rsid w:val="00732A12"/>
    <w:rsid w:val="00733278"/>
    <w:rsid w:val="007362C5"/>
    <w:rsid w:val="007372CF"/>
    <w:rsid w:val="00742B1A"/>
    <w:rsid w:val="00744ACB"/>
    <w:rsid w:val="00753614"/>
    <w:rsid w:val="00762BF4"/>
    <w:rsid w:val="00763AAA"/>
    <w:rsid w:val="00770BF4"/>
    <w:rsid w:val="007749E8"/>
    <w:rsid w:val="00780C71"/>
    <w:rsid w:val="007830D1"/>
    <w:rsid w:val="00786352"/>
    <w:rsid w:val="00794123"/>
    <w:rsid w:val="00795F58"/>
    <w:rsid w:val="007A4FFC"/>
    <w:rsid w:val="007B1D93"/>
    <w:rsid w:val="007C4024"/>
    <w:rsid w:val="007D0523"/>
    <w:rsid w:val="007D47B9"/>
    <w:rsid w:val="007E4219"/>
    <w:rsid w:val="007E5355"/>
    <w:rsid w:val="007F39AB"/>
    <w:rsid w:val="007F4731"/>
    <w:rsid w:val="007F6C1D"/>
    <w:rsid w:val="00805AB6"/>
    <w:rsid w:val="00815C78"/>
    <w:rsid w:val="008261EC"/>
    <w:rsid w:val="008339C3"/>
    <w:rsid w:val="008634F7"/>
    <w:rsid w:val="0086756F"/>
    <w:rsid w:val="00870007"/>
    <w:rsid w:val="0087305C"/>
    <w:rsid w:val="00874827"/>
    <w:rsid w:val="00876D58"/>
    <w:rsid w:val="00881DCD"/>
    <w:rsid w:val="008875A8"/>
    <w:rsid w:val="0089707B"/>
    <w:rsid w:val="008A677E"/>
    <w:rsid w:val="008B197E"/>
    <w:rsid w:val="008B6182"/>
    <w:rsid w:val="008B724B"/>
    <w:rsid w:val="008C11E5"/>
    <w:rsid w:val="008C233B"/>
    <w:rsid w:val="008C5954"/>
    <w:rsid w:val="008D4BD9"/>
    <w:rsid w:val="008D68EF"/>
    <w:rsid w:val="008E4225"/>
    <w:rsid w:val="00901945"/>
    <w:rsid w:val="0091365D"/>
    <w:rsid w:val="009236C8"/>
    <w:rsid w:val="009279C1"/>
    <w:rsid w:val="00927C81"/>
    <w:rsid w:val="00932861"/>
    <w:rsid w:val="00941D11"/>
    <w:rsid w:val="009445C5"/>
    <w:rsid w:val="0094774E"/>
    <w:rsid w:val="00947A0B"/>
    <w:rsid w:val="00947BFC"/>
    <w:rsid w:val="00950F03"/>
    <w:rsid w:val="009545A6"/>
    <w:rsid w:val="009553C1"/>
    <w:rsid w:val="0095661A"/>
    <w:rsid w:val="00961299"/>
    <w:rsid w:val="00970F73"/>
    <w:rsid w:val="00976169"/>
    <w:rsid w:val="00981358"/>
    <w:rsid w:val="009848AC"/>
    <w:rsid w:val="00985A4F"/>
    <w:rsid w:val="00992AE4"/>
    <w:rsid w:val="00993A0E"/>
    <w:rsid w:val="009A1A0F"/>
    <w:rsid w:val="009A7DCB"/>
    <w:rsid w:val="009B5249"/>
    <w:rsid w:val="009C4870"/>
    <w:rsid w:val="009E7835"/>
    <w:rsid w:val="009F329C"/>
    <w:rsid w:val="00A164DB"/>
    <w:rsid w:val="00A17EAD"/>
    <w:rsid w:val="00A20899"/>
    <w:rsid w:val="00A306BF"/>
    <w:rsid w:val="00A35589"/>
    <w:rsid w:val="00A413E1"/>
    <w:rsid w:val="00A41786"/>
    <w:rsid w:val="00A45A78"/>
    <w:rsid w:val="00A471E7"/>
    <w:rsid w:val="00A50C7C"/>
    <w:rsid w:val="00A61526"/>
    <w:rsid w:val="00A64DAA"/>
    <w:rsid w:val="00A64FD4"/>
    <w:rsid w:val="00A66CF3"/>
    <w:rsid w:val="00A70A04"/>
    <w:rsid w:val="00A85900"/>
    <w:rsid w:val="00A873F0"/>
    <w:rsid w:val="00A968C5"/>
    <w:rsid w:val="00A96BBA"/>
    <w:rsid w:val="00A97518"/>
    <w:rsid w:val="00AA1CA1"/>
    <w:rsid w:val="00AA30A8"/>
    <w:rsid w:val="00AA660F"/>
    <w:rsid w:val="00AB690B"/>
    <w:rsid w:val="00AC013F"/>
    <w:rsid w:val="00AC15F0"/>
    <w:rsid w:val="00AC32DD"/>
    <w:rsid w:val="00AC3915"/>
    <w:rsid w:val="00AC5068"/>
    <w:rsid w:val="00AC5B07"/>
    <w:rsid w:val="00AD72A6"/>
    <w:rsid w:val="00AE0360"/>
    <w:rsid w:val="00AF60C6"/>
    <w:rsid w:val="00B02A87"/>
    <w:rsid w:val="00B03550"/>
    <w:rsid w:val="00B114FF"/>
    <w:rsid w:val="00B14906"/>
    <w:rsid w:val="00B23640"/>
    <w:rsid w:val="00B2516C"/>
    <w:rsid w:val="00B44D24"/>
    <w:rsid w:val="00B56332"/>
    <w:rsid w:val="00B57103"/>
    <w:rsid w:val="00B6052F"/>
    <w:rsid w:val="00B7595D"/>
    <w:rsid w:val="00B77C5B"/>
    <w:rsid w:val="00BA434B"/>
    <w:rsid w:val="00BA703F"/>
    <w:rsid w:val="00BB35E1"/>
    <w:rsid w:val="00BB5EAA"/>
    <w:rsid w:val="00BC0759"/>
    <w:rsid w:val="00BC16BC"/>
    <w:rsid w:val="00BC2B97"/>
    <w:rsid w:val="00BD0446"/>
    <w:rsid w:val="00BD5319"/>
    <w:rsid w:val="00BE4948"/>
    <w:rsid w:val="00BE5507"/>
    <w:rsid w:val="00C0060D"/>
    <w:rsid w:val="00C019F3"/>
    <w:rsid w:val="00C06A85"/>
    <w:rsid w:val="00C146A2"/>
    <w:rsid w:val="00C157BD"/>
    <w:rsid w:val="00C225AE"/>
    <w:rsid w:val="00C2515C"/>
    <w:rsid w:val="00C25EF9"/>
    <w:rsid w:val="00C377ED"/>
    <w:rsid w:val="00C4539E"/>
    <w:rsid w:val="00C50A04"/>
    <w:rsid w:val="00C54A74"/>
    <w:rsid w:val="00C56D51"/>
    <w:rsid w:val="00C578C1"/>
    <w:rsid w:val="00C61B72"/>
    <w:rsid w:val="00C66C67"/>
    <w:rsid w:val="00C702ED"/>
    <w:rsid w:val="00C776EF"/>
    <w:rsid w:val="00C80011"/>
    <w:rsid w:val="00C9449F"/>
    <w:rsid w:val="00C95464"/>
    <w:rsid w:val="00CA5A3E"/>
    <w:rsid w:val="00CB0437"/>
    <w:rsid w:val="00CB0F78"/>
    <w:rsid w:val="00CC62F7"/>
    <w:rsid w:val="00CC6DAE"/>
    <w:rsid w:val="00CD756D"/>
    <w:rsid w:val="00CF2C17"/>
    <w:rsid w:val="00CF4792"/>
    <w:rsid w:val="00CF6833"/>
    <w:rsid w:val="00D01476"/>
    <w:rsid w:val="00D061C6"/>
    <w:rsid w:val="00D1156F"/>
    <w:rsid w:val="00D21F19"/>
    <w:rsid w:val="00D26409"/>
    <w:rsid w:val="00D32952"/>
    <w:rsid w:val="00D354AC"/>
    <w:rsid w:val="00D36F9B"/>
    <w:rsid w:val="00D43147"/>
    <w:rsid w:val="00D476D4"/>
    <w:rsid w:val="00D55CFD"/>
    <w:rsid w:val="00D62B02"/>
    <w:rsid w:val="00D6331D"/>
    <w:rsid w:val="00D75D3B"/>
    <w:rsid w:val="00D80108"/>
    <w:rsid w:val="00D81335"/>
    <w:rsid w:val="00D8713E"/>
    <w:rsid w:val="00D93E6A"/>
    <w:rsid w:val="00D95A1E"/>
    <w:rsid w:val="00D96544"/>
    <w:rsid w:val="00DA2B70"/>
    <w:rsid w:val="00DA5AF0"/>
    <w:rsid w:val="00DA6B28"/>
    <w:rsid w:val="00DB2A1A"/>
    <w:rsid w:val="00DB403A"/>
    <w:rsid w:val="00DB7BA1"/>
    <w:rsid w:val="00DC06D7"/>
    <w:rsid w:val="00DC4F5E"/>
    <w:rsid w:val="00DC6121"/>
    <w:rsid w:val="00DD4653"/>
    <w:rsid w:val="00DD50AF"/>
    <w:rsid w:val="00DD7619"/>
    <w:rsid w:val="00DE3A87"/>
    <w:rsid w:val="00DE3EFF"/>
    <w:rsid w:val="00DE458D"/>
    <w:rsid w:val="00DE5209"/>
    <w:rsid w:val="00DF032B"/>
    <w:rsid w:val="00DF2B84"/>
    <w:rsid w:val="00DF373D"/>
    <w:rsid w:val="00E051B0"/>
    <w:rsid w:val="00E13289"/>
    <w:rsid w:val="00E1493B"/>
    <w:rsid w:val="00E17106"/>
    <w:rsid w:val="00E21B17"/>
    <w:rsid w:val="00E24A56"/>
    <w:rsid w:val="00E278D2"/>
    <w:rsid w:val="00E30EF3"/>
    <w:rsid w:val="00E41F2C"/>
    <w:rsid w:val="00E454D7"/>
    <w:rsid w:val="00E471E7"/>
    <w:rsid w:val="00E502E4"/>
    <w:rsid w:val="00E50E99"/>
    <w:rsid w:val="00E5293C"/>
    <w:rsid w:val="00E57843"/>
    <w:rsid w:val="00E57BF8"/>
    <w:rsid w:val="00E67E29"/>
    <w:rsid w:val="00E71587"/>
    <w:rsid w:val="00E7666F"/>
    <w:rsid w:val="00E83F4F"/>
    <w:rsid w:val="00E907D7"/>
    <w:rsid w:val="00E90ACE"/>
    <w:rsid w:val="00E95CE9"/>
    <w:rsid w:val="00EA2C36"/>
    <w:rsid w:val="00EA46F9"/>
    <w:rsid w:val="00ED0F49"/>
    <w:rsid w:val="00ED3D72"/>
    <w:rsid w:val="00EE2AD2"/>
    <w:rsid w:val="00EE4A2D"/>
    <w:rsid w:val="00EE4F82"/>
    <w:rsid w:val="00EE6220"/>
    <w:rsid w:val="00EF03A9"/>
    <w:rsid w:val="00EF0719"/>
    <w:rsid w:val="00EF55FD"/>
    <w:rsid w:val="00EF6047"/>
    <w:rsid w:val="00F0297F"/>
    <w:rsid w:val="00F14D8C"/>
    <w:rsid w:val="00F16923"/>
    <w:rsid w:val="00F20D22"/>
    <w:rsid w:val="00F4315B"/>
    <w:rsid w:val="00F4604C"/>
    <w:rsid w:val="00F46832"/>
    <w:rsid w:val="00F51B79"/>
    <w:rsid w:val="00F5273B"/>
    <w:rsid w:val="00F52E01"/>
    <w:rsid w:val="00F655BA"/>
    <w:rsid w:val="00F7246B"/>
    <w:rsid w:val="00F72E2B"/>
    <w:rsid w:val="00F76527"/>
    <w:rsid w:val="00F77D32"/>
    <w:rsid w:val="00F91254"/>
    <w:rsid w:val="00FA2F78"/>
    <w:rsid w:val="00FA5C24"/>
    <w:rsid w:val="00FA7707"/>
    <w:rsid w:val="00FB78C4"/>
    <w:rsid w:val="00FC139B"/>
    <w:rsid w:val="00FC1998"/>
    <w:rsid w:val="00FC3C1C"/>
    <w:rsid w:val="00FD0AFE"/>
    <w:rsid w:val="00FD16C4"/>
    <w:rsid w:val="00FD21D3"/>
    <w:rsid w:val="00FD6E74"/>
    <w:rsid w:val="00FE1E30"/>
    <w:rsid w:val="00FE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E59567"/>
  <w15:chartTrackingRefBased/>
  <w15:docId w15:val="{155D1238-6C2D-41EF-BA56-28D1C49A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2E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682E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82E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82E2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2E2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2E2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2E2F"/>
    <w:pPr>
      <w:outlineLvl w:val="5"/>
    </w:pPr>
  </w:style>
  <w:style w:type="paragraph" w:styleId="Heading7">
    <w:name w:val="heading 7"/>
    <w:basedOn w:val="H6"/>
    <w:next w:val="Normal"/>
    <w:qFormat/>
    <w:rsid w:val="00682E2F"/>
    <w:pPr>
      <w:outlineLvl w:val="6"/>
    </w:pPr>
  </w:style>
  <w:style w:type="paragraph" w:styleId="Heading8">
    <w:name w:val="heading 8"/>
    <w:basedOn w:val="Heading1"/>
    <w:next w:val="Normal"/>
    <w:qFormat/>
    <w:rsid w:val="00682E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2E2F"/>
    <w:pPr>
      <w:outlineLvl w:val="8"/>
    </w:pPr>
  </w:style>
  <w:style w:type="character" w:default="1" w:styleId="DefaultParagraphFont">
    <w:name w:val="Default Paragraph Font"/>
    <w:semiHidden/>
    <w:rsid w:val="00682E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2E2F"/>
  </w:style>
  <w:style w:type="paragraph" w:styleId="TOC8">
    <w:name w:val="toc 8"/>
    <w:basedOn w:val="TOC1"/>
    <w:semiHidden/>
    <w:rsid w:val="00682E2F"/>
    <w:pPr>
      <w:spacing w:before="180"/>
      <w:ind w:left="2693" w:hanging="2693"/>
    </w:pPr>
    <w:rPr>
      <w:b/>
    </w:rPr>
  </w:style>
  <w:style w:type="paragraph" w:styleId="TOC1">
    <w:name w:val="toc 1"/>
    <w:semiHidden/>
    <w:rsid w:val="00682E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82E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82E2F"/>
    <w:pPr>
      <w:ind w:left="1701" w:hanging="1701"/>
    </w:pPr>
  </w:style>
  <w:style w:type="paragraph" w:styleId="TOC4">
    <w:name w:val="toc 4"/>
    <w:basedOn w:val="TOC3"/>
    <w:semiHidden/>
    <w:rsid w:val="00682E2F"/>
    <w:pPr>
      <w:ind w:left="1418" w:hanging="1418"/>
    </w:pPr>
  </w:style>
  <w:style w:type="paragraph" w:styleId="TOC3">
    <w:name w:val="toc 3"/>
    <w:basedOn w:val="TOC2"/>
    <w:semiHidden/>
    <w:rsid w:val="00682E2F"/>
    <w:pPr>
      <w:ind w:left="1134" w:hanging="1134"/>
    </w:pPr>
  </w:style>
  <w:style w:type="paragraph" w:styleId="TOC2">
    <w:name w:val="toc 2"/>
    <w:basedOn w:val="TOC1"/>
    <w:semiHidden/>
    <w:rsid w:val="00682E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2E2F"/>
    <w:pPr>
      <w:ind w:left="284"/>
    </w:pPr>
  </w:style>
  <w:style w:type="paragraph" w:styleId="Index1">
    <w:name w:val="index 1"/>
    <w:basedOn w:val="Normal"/>
    <w:semiHidden/>
    <w:rsid w:val="00682E2F"/>
    <w:pPr>
      <w:keepLines/>
      <w:spacing w:after="0"/>
    </w:pPr>
  </w:style>
  <w:style w:type="paragraph" w:customStyle="1" w:styleId="ZH">
    <w:name w:val="ZH"/>
    <w:rsid w:val="00682E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82E2F"/>
    <w:pPr>
      <w:outlineLvl w:val="9"/>
    </w:pPr>
  </w:style>
  <w:style w:type="paragraph" w:styleId="ListNumber2">
    <w:name w:val="List Number 2"/>
    <w:basedOn w:val="ListNumber"/>
    <w:semiHidden/>
    <w:rsid w:val="00682E2F"/>
    <w:pPr>
      <w:ind w:left="851"/>
    </w:pPr>
  </w:style>
  <w:style w:type="paragraph" w:styleId="Header">
    <w:name w:val="header"/>
    <w:semiHidden/>
    <w:rsid w:val="00682E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82E2F"/>
    <w:rPr>
      <w:b/>
      <w:position w:val="6"/>
      <w:sz w:val="16"/>
    </w:rPr>
  </w:style>
  <w:style w:type="paragraph" w:styleId="FootnoteText">
    <w:name w:val="footnote text"/>
    <w:basedOn w:val="Normal"/>
    <w:semiHidden/>
    <w:rsid w:val="00682E2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82E2F"/>
    <w:rPr>
      <w:b/>
    </w:rPr>
  </w:style>
  <w:style w:type="paragraph" w:customStyle="1" w:styleId="TAC">
    <w:name w:val="TAC"/>
    <w:basedOn w:val="TAL"/>
    <w:link w:val="TACChar"/>
    <w:rsid w:val="00682E2F"/>
    <w:pPr>
      <w:jc w:val="center"/>
    </w:pPr>
  </w:style>
  <w:style w:type="paragraph" w:customStyle="1" w:styleId="TF">
    <w:name w:val="TF"/>
    <w:basedOn w:val="TH"/>
    <w:rsid w:val="00682E2F"/>
    <w:pPr>
      <w:keepNext w:val="0"/>
      <w:spacing w:before="0" w:after="240"/>
    </w:pPr>
  </w:style>
  <w:style w:type="paragraph" w:customStyle="1" w:styleId="NO">
    <w:name w:val="NO"/>
    <w:basedOn w:val="Normal"/>
    <w:rsid w:val="00682E2F"/>
    <w:pPr>
      <w:keepLines/>
      <w:ind w:left="1135" w:hanging="851"/>
    </w:pPr>
  </w:style>
  <w:style w:type="paragraph" w:styleId="TOC9">
    <w:name w:val="toc 9"/>
    <w:basedOn w:val="TOC8"/>
    <w:semiHidden/>
    <w:rsid w:val="00682E2F"/>
    <w:pPr>
      <w:ind w:left="1418" w:hanging="1418"/>
    </w:pPr>
  </w:style>
  <w:style w:type="paragraph" w:customStyle="1" w:styleId="EX">
    <w:name w:val="EX"/>
    <w:basedOn w:val="Normal"/>
    <w:rsid w:val="00682E2F"/>
    <w:pPr>
      <w:keepLines/>
      <w:ind w:left="1702" w:hanging="1418"/>
    </w:pPr>
  </w:style>
  <w:style w:type="paragraph" w:customStyle="1" w:styleId="FP">
    <w:name w:val="FP"/>
    <w:basedOn w:val="Normal"/>
    <w:rsid w:val="00682E2F"/>
    <w:pPr>
      <w:spacing w:after="0"/>
    </w:pPr>
  </w:style>
  <w:style w:type="paragraph" w:customStyle="1" w:styleId="LD">
    <w:name w:val="LD"/>
    <w:rsid w:val="00682E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82E2F"/>
    <w:pPr>
      <w:spacing w:after="0"/>
    </w:pPr>
  </w:style>
  <w:style w:type="paragraph" w:customStyle="1" w:styleId="EW">
    <w:name w:val="EW"/>
    <w:basedOn w:val="EX"/>
    <w:rsid w:val="00682E2F"/>
    <w:pPr>
      <w:spacing w:after="0"/>
    </w:pPr>
  </w:style>
  <w:style w:type="paragraph" w:styleId="TOC6">
    <w:name w:val="toc 6"/>
    <w:basedOn w:val="TOC5"/>
    <w:next w:val="Normal"/>
    <w:semiHidden/>
    <w:rsid w:val="00682E2F"/>
    <w:pPr>
      <w:ind w:left="1985" w:hanging="1985"/>
    </w:pPr>
  </w:style>
  <w:style w:type="paragraph" w:styleId="TOC7">
    <w:name w:val="toc 7"/>
    <w:basedOn w:val="TOC6"/>
    <w:next w:val="Normal"/>
    <w:semiHidden/>
    <w:rsid w:val="00682E2F"/>
    <w:pPr>
      <w:ind w:left="2268" w:hanging="2268"/>
    </w:pPr>
  </w:style>
  <w:style w:type="paragraph" w:styleId="ListBullet2">
    <w:name w:val="List Bullet 2"/>
    <w:basedOn w:val="ListBullet"/>
    <w:semiHidden/>
    <w:rsid w:val="00682E2F"/>
    <w:pPr>
      <w:ind w:left="851"/>
    </w:pPr>
  </w:style>
  <w:style w:type="paragraph" w:styleId="ListBullet3">
    <w:name w:val="List Bullet 3"/>
    <w:basedOn w:val="ListBullet2"/>
    <w:semiHidden/>
    <w:rsid w:val="00682E2F"/>
    <w:pPr>
      <w:ind w:left="1135"/>
    </w:pPr>
  </w:style>
  <w:style w:type="paragraph" w:styleId="ListNumber">
    <w:name w:val="List Number"/>
    <w:basedOn w:val="List"/>
    <w:semiHidden/>
    <w:rsid w:val="00682E2F"/>
  </w:style>
  <w:style w:type="paragraph" w:customStyle="1" w:styleId="EQ">
    <w:name w:val="EQ"/>
    <w:basedOn w:val="Normal"/>
    <w:next w:val="Normal"/>
    <w:rsid w:val="00682E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82E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2E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2E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82E2F"/>
    <w:pPr>
      <w:jc w:val="right"/>
    </w:pPr>
  </w:style>
  <w:style w:type="paragraph" w:customStyle="1" w:styleId="H6">
    <w:name w:val="H6"/>
    <w:basedOn w:val="Heading5"/>
    <w:next w:val="Normal"/>
    <w:rsid w:val="00682E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2E2F"/>
    <w:pPr>
      <w:ind w:left="851" w:hanging="851"/>
    </w:pPr>
  </w:style>
  <w:style w:type="paragraph" w:customStyle="1" w:styleId="TAL">
    <w:name w:val="TAL"/>
    <w:basedOn w:val="Normal"/>
    <w:rsid w:val="00682E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2E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2E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2E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82E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2E2F"/>
    <w:pPr>
      <w:framePr w:wrap="notBeside" w:y="16161"/>
    </w:pPr>
  </w:style>
  <w:style w:type="character" w:customStyle="1" w:styleId="ZGSM">
    <w:name w:val="ZGSM"/>
    <w:rsid w:val="00682E2F"/>
  </w:style>
  <w:style w:type="paragraph" w:styleId="List2">
    <w:name w:val="List 2"/>
    <w:basedOn w:val="List"/>
    <w:semiHidden/>
    <w:rsid w:val="00682E2F"/>
    <w:pPr>
      <w:ind w:left="851"/>
    </w:pPr>
  </w:style>
  <w:style w:type="paragraph" w:customStyle="1" w:styleId="ZG">
    <w:name w:val="ZG"/>
    <w:rsid w:val="00682E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82E2F"/>
    <w:pPr>
      <w:ind w:left="1135"/>
    </w:pPr>
  </w:style>
  <w:style w:type="paragraph" w:styleId="List4">
    <w:name w:val="List 4"/>
    <w:basedOn w:val="List3"/>
    <w:semiHidden/>
    <w:rsid w:val="00682E2F"/>
    <w:pPr>
      <w:ind w:left="1418"/>
    </w:pPr>
  </w:style>
  <w:style w:type="paragraph" w:styleId="List5">
    <w:name w:val="List 5"/>
    <w:basedOn w:val="List4"/>
    <w:semiHidden/>
    <w:rsid w:val="00682E2F"/>
    <w:pPr>
      <w:ind w:left="1702"/>
    </w:pPr>
  </w:style>
  <w:style w:type="paragraph" w:customStyle="1" w:styleId="EditorsNote">
    <w:name w:val="Editor's Note"/>
    <w:basedOn w:val="NO"/>
    <w:rsid w:val="00682E2F"/>
    <w:rPr>
      <w:color w:val="FF0000"/>
    </w:rPr>
  </w:style>
  <w:style w:type="paragraph" w:styleId="List">
    <w:name w:val="List"/>
    <w:basedOn w:val="Normal"/>
    <w:semiHidden/>
    <w:rsid w:val="00682E2F"/>
    <w:pPr>
      <w:ind w:left="568" w:hanging="284"/>
    </w:pPr>
  </w:style>
  <w:style w:type="paragraph" w:styleId="ListBullet">
    <w:name w:val="List Bullet"/>
    <w:basedOn w:val="List"/>
    <w:semiHidden/>
    <w:rsid w:val="00682E2F"/>
  </w:style>
  <w:style w:type="paragraph" w:styleId="ListBullet4">
    <w:name w:val="List Bullet 4"/>
    <w:basedOn w:val="ListBullet3"/>
    <w:semiHidden/>
    <w:rsid w:val="00682E2F"/>
    <w:pPr>
      <w:ind w:left="1418"/>
    </w:pPr>
  </w:style>
  <w:style w:type="paragraph" w:styleId="ListBullet5">
    <w:name w:val="List Bullet 5"/>
    <w:basedOn w:val="ListBullet4"/>
    <w:semiHidden/>
    <w:rsid w:val="00682E2F"/>
    <w:pPr>
      <w:ind w:left="1702"/>
    </w:pPr>
  </w:style>
  <w:style w:type="paragraph" w:customStyle="1" w:styleId="B1">
    <w:name w:val="B1"/>
    <w:basedOn w:val="List"/>
    <w:link w:val="B1Zchn"/>
    <w:rsid w:val="00682E2F"/>
  </w:style>
  <w:style w:type="paragraph" w:customStyle="1" w:styleId="B2">
    <w:name w:val="B2"/>
    <w:basedOn w:val="List2"/>
    <w:rsid w:val="00682E2F"/>
  </w:style>
  <w:style w:type="paragraph" w:customStyle="1" w:styleId="B3">
    <w:name w:val="B3"/>
    <w:basedOn w:val="List3"/>
    <w:rsid w:val="00682E2F"/>
  </w:style>
  <w:style w:type="paragraph" w:customStyle="1" w:styleId="B4">
    <w:name w:val="B4"/>
    <w:basedOn w:val="List4"/>
    <w:rsid w:val="00682E2F"/>
  </w:style>
  <w:style w:type="paragraph" w:customStyle="1" w:styleId="B5">
    <w:name w:val="B5"/>
    <w:basedOn w:val="List5"/>
    <w:rsid w:val="00682E2F"/>
  </w:style>
  <w:style w:type="paragraph" w:styleId="Footer">
    <w:name w:val="footer"/>
    <w:basedOn w:val="Header"/>
    <w:semiHidden/>
    <w:rsid w:val="00682E2F"/>
    <w:pPr>
      <w:jc w:val="center"/>
    </w:pPr>
    <w:rPr>
      <w:i/>
    </w:rPr>
  </w:style>
  <w:style w:type="paragraph" w:customStyle="1" w:styleId="ZTD">
    <w:name w:val="ZTD"/>
    <w:basedOn w:val="ZB"/>
    <w:rsid w:val="00682E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next w:val="Normal"/>
    <w:link w:val="CRCoverPageChar"/>
    <w:rsid w:val="000C3927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rsid w:val="000C3927"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0C3927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A2C36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41D11"/>
    <w:rPr>
      <w:color w:val="808080"/>
    </w:rPr>
  </w:style>
  <w:style w:type="table" w:styleId="TableGrid">
    <w:name w:val="Table Grid"/>
    <w:basedOn w:val="TableNormal"/>
    <w:rsid w:val="00A61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A61526"/>
    <w:rPr>
      <w:rFonts w:ascii="Arial" w:hAnsi="Arial"/>
      <w:b/>
      <w:sz w:val="18"/>
    </w:rPr>
  </w:style>
  <w:style w:type="character" w:customStyle="1" w:styleId="B1Zchn">
    <w:name w:val="B1 Zchn"/>
    <w:link w:val="B1"/>
    <w:qFormat/>
    <w:rsid w:val="00762BF4"/>
    <w:rPr>
      <w:rFonts w:ascii="Times New Roman" w:hAnsi="Times New Roman"/>
    </w:rPr>
  </w:style>
  <w:style w:type="character" w:customStyle="1" w:styleId="apple-converted-space">
    <w:name w:val="apple-converted-space"/>
    <w:rsid w:val="00762BF4"/>
  </w:style>
  <w:style w:type="character" w:customStyle="1" w:styleId="TACChar">
    <w:name w:val="TAC Char"/>
    <w:link w:val="TAC"/>
    <w:qFormat/>
    <w:rsid w:val="008C11E5"/>
    <w:rPr>
      <w:rFonts w:ascii="Arial" w:hAnsi="Arial"/>
      <w:sz w:val="18"/>
    </w:rPr>
  </w:style>
  <w:style w:type="character" w:customStyle="1" w:styleId="THChar">
    <w:name w:val="TH Char"/>
    <w:link w:val="TH"/>
    <w:qFormat/>
    <w:rsid w:val="008C11E5"/>
    <w:rPr>
      <w:rFonts w:ascii="Arial" w:hAnsi="Arial"/>
      <w:b/>
    </w:rPr>
  </w:style>
  <w:style w:type="character" w:customStyle="1" w:styleId="B1Char">
    <w:name w:val="B1 Char"/>
    <w:qFormat/>
    <w:locked/>
    <w:rsid w:val="008C11E5"/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4E61A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79C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00617"/>
    <w:rPr>
      <w:rFonts w:ascii="Arial" w:hAnsi="Arial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5325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254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254D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25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254D"/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25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803D2-2757-47E3-98B4-0C7069863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Chouli, Hassen</dc:creator>
  <cp:keywords>ESA, style sheet, Winword</cp:keywords>
  <dc:description/>
  <cp:lastModifiedBy>Chouli, Hassen</cp:lastModifiedBy>
  <cp:revision>9</cp:revision>
  <cp:lastPrinted>1899-12-31T23:00:00Z</cp:lastPrinted>
  <dcterms:created xsi:type="dcterms:W3CDTF">2022-08-05T11:38:00Z</dcterms:created>
  <dcterms:modified xsi:type="dcterms:W3CDTF">2022-08-10T09:03:00Z</dcterms:modified>
</cp:coreProperties>
</file>